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5A0" w:rsidRPr="00A57777" w:rsidRDefault="00955E9E">
      <w:pPr>
        <w:rPr>
          <w:sz w:val="24"/>
          <w:szCs w:val="24"/>
        </w:rPr>
      </w:pPr>
      <w:bookmarkStart w:id="0" w:name="_GoBack"/>
      <w:bookmarkEnd w:id="0"/>
      <w:r>
        <w:rPr>
          <w:noProof/>
          <w:lang w:eastAsia="cs-CZ"/>
        </w:rPr>
        <w:drawing>
          <wp:anchor distT="0" distB="0" distL="114300" distR="114300" simplePos="0" relativeHeight="251655168" behindDoc="0" locked="0" layoutInCell="1" allowOverlap="1">
            <wp:simplePos x="0" y="0"/>
            <wp:positionH relativeFrom="column">
              <wp:posOffset>3411855</wp:posOffset>
            </wp:positionH>
            <wp:positionV relativeFrom="paragraph">
              <wp:posOffset>-85090</wp:posOffset>
            </wp:positionV>
            <wp:extent cx="2717546" cy="1727200"/>
            <wp:effectExtent l="0" t="0" r="0" b="0"/>
            <wp:wrapNone/>
            <wp:docPr id="6" name="obrázek 3" descr="http://hydropedologie.agrobiologie.cz/images/LogoCZU-pruhl-cern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hydropedologie.agrobiologie.cz/images/LogoCZU-pruhl-cerne.png"/>
                    <pic:cNvPicPr>
                      <a:picLocks noChangeAspect="1" noChangeArrowheads="1"/>
                    </pic:cNvPicPr>
                  </pic:nvPicPr>
                  <pic:blipFill>
                    <a:blip r:embed="rId7">
                      <a:duotone>
                        <a:prstClr val="black"/>
                        <a:schemeClr val="accent3">
                          <a:tint val="45000"/>
                          <a:satMod val="400000"/>
                        </a:schemeClr>
                      </a:duotone>
                    </a:blip>
                    <a:srcRect/>
                    <a:stretch>
                      <a:fillRect/>
                    </a:stretch>
                  </pic:blipFill>
                  <pic:spPr bwMode="auto">
                    <a:xfrm>
                      <a:off x="0" y="0"/>
                      <a:ext cx="2717165" cy="172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tbl>
      <w:tblPr>
        <w:tblpPr w:leftFromText="187" w:rightFromText="187" w:vertAnchor="page" w:horzAnchor="margin" w:tblpXSpec="right" w:tblpY="4161"/>
        <w:tblW w:w="212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0A0" w:firstRow="1" w:lastRow="0" w:firstColumn="1" w:lastColumn="0" w:noHBand="0" w:noVBand="0"/>
      </w:tblPr>
      <w:tblGrid>
        <w:gridCol w:w="4104"/>
      </w:tblGrid>
      <w:tr w:rsidR="004215A0" w:rsidRPr="002C0E33" w:rsidTr="003A1968">
        <w:tc>
          <w:tcPr>
            <w:tcW w:w="0" w:type="auto"/>
          </w:tcPr>
          <w:p w:rsidR="004215A0" w:rsidRPr="002C0E33" w:rsidRDefault="004215A0" w:rsidP="003A1968">
            <w:pPr>
              <w:pStyle w:val="Bezmezer"/>
              <w:rPr>
                <w:sz w:val="24"/>
                <w:szCs w:val="24"/>
              </w:rPr>
            </w:pPr>
            <w:r w:rsidRPr="002C0E33">
              <w:rPr>
                <w:sz w:val="24"/>
                <w:szCs w:val="24"/>
              </w:rPr>
              <w:t>Místní finance a hospodaření sídla</w:t>
            </w:r>
          </w:p>
        </w:tc>
      </w:tr>
      <w:tr w:rsidR="004215A0" w:rsidRPr="002C0E33" w:rsidTr="003A1968">
        <w:tc>
          <w:tcPr>
            <w:tcW w:w="0" w:type="auto"/>
          </w:tcPr>
          <w:p w:rsidR="004215A0" w:rsidRPr="002C0E33" w:rsidRDefault="004215A0" w:rsidP="003A1968">
            <w:pPr>
              <w:pStyle w:val="Bezmezer"/>
              <w:rPr>
                <w:sz w:val="24"/>
                <w:szCs w:val="24"/>
              </w:rPr>
            </w:pPr>
            <w:r w:rsidRPr="002C0E33">
              <w:rPr>
                <w:sz w:val="24"/>
                <w:szCs w:val="24"/>
              </w:rPr>
              <w:t>Posouzení finanční situace obce</w:t>
            </w:r>
          </w:p>
        </w:tc>
      </w:tr>
      <w:tr w:rsidR="004215A0" w:rsidRPr="002C0E33" w:rsidTr="003A1968">
        <w:tc>
          <w:tcPr>
            <w:tcW w:w="0" w:type="auto"/>
          </w:tcPr>
          <w:p w:rsidR="004215A0" w:rsidRPr="002C0E33" w:rsidRDefault="004215A0" w:rsidP="000A16D6">
            <w:pPr>
              <w:pStyle w:val="Bezmezer"/>
              <w:rPr>
                <w:sz w:val="24"/>
                <w:szCs w:val="24"/>
              </w:rPr>
            </w:pPr>
            <w:r w:rsidRPr="002C0E33">
              <w:rPr>
                <w:sz w:val="24"/>
                <w:szCs w:val="24"/>
              </w:rPr>
              <w:t>Krásné Údolí</w:t>
            </w:r>
          </w:p>
        </w:tc>
      </w:tr>
    </w:tbl>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Default="004215A0">
      <w:pPr>
        <w:rPr>
          <w:sz w:val="24"/>
          <w:szCs w:val="24"/>
        </w:rPr>
      </w:pPr>
    </w:p>
    <w:p w:rsidR="004215A0" w:rsidRPr="00A57777" w:rsidRDefault="004215A0">
      <w:pPr>
        <w:rPr>
          <w:sz w:val="24"/>
          <w:szCs w:val="24"/>
        </w:rPr>
      </w:pPr>
    </w:p>
    <w:p w:rsidR="004215A0" w:rsidRPr="00A57777" w:rsidRDefault="004215A0">
      <w:pPr>
        <w:rPr>
          <w:sz w:val="24"/>
          <w:szCs w:val="24"/>
        </w:rPr>
      </w:pPr>
    </w:p>
    <w:p w:rsidR="004215A0" w:rsidRDefault="00955E9E" w:rsidP="003A1968">
      <w:pPr>
        <w:spacing w:after="0" w:line="288" w:lineRule="auto"/>
        <w:jc w:val="both"/>
        <w:rPr>
          <w:color w:val="4F6228"/>
          <w:sz w:val="24"/>
          <w:szCs w:val="24"/>
        </w:rPr>
      </w:pPr>
      <w:r>
        <w:rPr>
          <w:noProof/>
          <w:lang w:eastAsia="cs-CZ"/>
        </w:rPr>
        <mc:AlternateContent>
          <mc:Choice Requires="wps">
            <w:drawing>
              <wp:anchor distT="4294967294" distB="4294967294" distL="114300" distR="114300" simplePos="0" relativeHeight="251658240" behindDoc="0" locked="0" layoutInCell="1" allowOverlap="1">
                <wp:simplePos x="0" y="0"/>
                <wp:positionH relativeFrom="column">
                  <wp:posOffset>-4445</wp:posOffset>
                </wp:positionH>
                <wp:positionV relativeFrom="paragraph">
                  <wp:posOffset>41274</wp:posOffset>
                </wp:positionV>
                <wp:extent cx="2592070" cy="0"/>
                <wp:effectExtent l="0" t="19050" r="17780" b="381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5080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5pt;margin-top:3.25pt;width:204.1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" strokecolor="#9bbb59" strokeweight="4pt">
                <v:shadow color="#868686"/>
              </v:shape>
            </w:pict>
          </mc:Fallback>
        </mc:AlternateContent>
      </w:r>
    </w:p>
    <w:p w:rsidR="004215A0" w:rsidRPr="00EF1756" w:rsidRDefault="004215A0" w:rsidP="00EF1756">
      <w:pPr>
        <w:spacing w:after="120" w:line="288" w:lineRule="auto"/>
        <w:jc w:val="both"/>
        <w:rPr>
          <w:sz w:val="24"/>
          <w:szCs w:val="24"/>
        </w:rPr>
      </w:pPr>
      <w:r>
        <w:rPr>
          <w:sz w:val="24"/>
          <w:szCs w:val="24"/>
        </w:rPr>
        <w:t>CŽV KS Cheb – 4. ročník</w:t>
      </w:r>
    </w:p>
    <w:p w:rsidR="004215A0" w:rsidRPr="00EF1756" w:rsidRDefault="00955E9E" w:rsidP="00EF1756">
      <w:pPr>
        <w:spacing w:before="360" w:after="0" w:line="288" w:lineRule="auto"/>
        <w:jc w:val="both"/>
        <w:rPr>
          <w:sz w:val="24"/>
          <w:szCs w:val="24"/>
        </w:rPr>
      </w:pPr>
      <w:r>
        <w:rPr>
          <w:noProof/>
          <w:lang w:eastAsia="cs-CZ"/>
        </w:rPr>
        <mc:AlternateContent>
          <mc:Choice Requires="wps">
            <w:drawing>
              <wp:anchor distT="4294967294" distB="4294967294" distL="114300" distR="114300" simplePos="0" relativeHeight="251656192" behindDoc="0" locked="0" layoutInCell="1" allowOverlap="1">
                <wp:simplePos x="0" y="0"/>
                <wp:positionH relativeFrom="column">
                  <wp:posOffset>-4445</wp:posOffset>
                </wp:positionH>
                <wp:positionV relativeFrom="paragraph">
                  <wp:posOffset>13969</wp:posOffset>
                </wp:positionV>
                <wp:extent cx="2592070" cy="0"/>
                <wp:effectExtent l="0" t="19050" r="17780" b="381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5080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5pt;margin-top:1.1pt;width:204.1pt;height:0;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" strokecolor="#9bbb59" strokeweight="4pt">
                <v:shadow color="#868686"/>
              </v:shape>
            </w:pict>
          </mc:Fallback>
        </mc:AlternateContent>
      </w:r>
      <w:r w:rsidR="004215A0" w:rsidRPr="00EF1756">
        <w:rPr>
          <w:sz w:val="24"/>
          <w:szCs w:val="24"/>
        </w:rPr>
        <w:t>Bc. Zuzana Křížová</w:t>
      </w:r>
    </w:p>
    <w:p w:rsidR="004215A0" w:rsidRPr="00EF1756" w:rsidRDefault="004215A0" w:rsidP="00EF1756">
      <w:pPr>
        <w:spacing w:before="120" w:after="0" w:line="288" w:lineRule="auto"/>
        <w:jc w:val="both"/>
        <w:rPr>
          <w:sz w:val="24"/>
          <w:szCs w:val="24"/>
        </w:rPr>
      </w:pPr>
      <w:r w:rsidRPr="00EF1756">
        <w:rPr>
          <w:sz w:val="24"/>
          <w:szCs w:val="24"/>
        </w:rPr>
        <w:t>Bc. Lenka Barešová</w:t>
      </w:r>
    </w:p>
    <w:p w:rsidR="004215A0" w:rsidRPr="00EF1756" w:rsidRDefault="004215A0" w:rsidP="00EF1756">
      <w:pPr>
        <w:spacing w:before="120" w:after="0" w:line="288" w:lineRule="auto"/>
        <w:jc w:val="both"/>
        <w:rPr>
          <w:sz w:val="24"/>
          <w:szCs w:val="24"/>
        </w:rPr>
      </w:pPr>
      <w:r w:rsidRPr="00EF1756">
        <w:rPr>
          <w:sz w:val="24"/>
          <w:szCs w:val="24"/>
        </w:rPr>
        <w:t>Bc. Terezie Prajzlerová</w:t>
      </w:r>
    </w:p>
    <w:p w:rsidR="004215A0" w:rsidRPr="00A57777" w:rsidRDefault="00955E9E" w:rsidP="00EF1756">
      <w:pPr>
        <w:spacing w:before="120" w:after="0" w:line="288" w:lineRule="auto"/>
        <w:jc w:val="both"/>
        <w:rPr>
          <w:color w:val="4F6228"/>
          <w:sz w:val="24"/>
          <w:szCs w:val="24"/>
        </w:rPr>
      </w:pPr>
      <w:r>
        <w:rPr>
          <w:noProof/>
          <w:lang w:eastAsia="cs-CZ"/>
        </w:rPr>
        <mc:AlternateContent>
          <mc:Choice Requires="wps">
            <w:drawing>
              <wp:anchor distT="4294967294" distB="4294967294" distL="114300" distR="114300" simplePos="0" relativeHeight="251657216" behindDoc="0" locked="0" layoutInCell="1" allowOverlap="1">
                <wp:simplePos x="0" y="0"/>
                <wp:positionH relativeFrom="column">
                  <wp:posOffset>-4445</wp:posOffset>
                </wp:positionH>
                <wp:positionV relativeFrom="paragraph">
                  <wp:posOffset>131444</wp:posOffset>
                </wp:positionV>
                <wp:extent cx="2592070" cy="0"/>
                <wp:effectExtent l="0" t="19050" r="17780" b="3810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5080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5pt;margin-top:10.35pt;width:204.1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" strokecolor="#9bbb59" strokeweight="4pt">
                <v:shadow color="#868686"/>
              </v:shape>
            </w:pict>
          </mc:Fallback>
        </mc:AlternateContent>
      </w:r>
    </w:p>
    <w:p w:rsidR="004215A0" w:rsidRPr="00EF1756" w:rsidRDefault="004215A0" w:rsidP="003A1968">
      <w:pPr>
        <w:spacing w:after="0" w:line="288" w:lineRule="auto"/>
        <w:jc w:val="both"/>
        <w:rPr>
          <w:sz w:val="24"/>
          <w:szCs w:val="24"/>
        </w:rPr>
      </w:pPr>
      <w:r w:rsidRPr="00EF1756">
        <w:rPr>
          <w:sz w:val="24"/>
          <w:szCs w:val="24"/>
        </w:rPr>
        <w:t>2013/2014</w:t>
      </w:r>
    </w:p>
    <w:p w:rsidR="004215A0" w:rsidRPr="00A57777" w:rsidRDefault="00955E9E" w:rsidP="003A1968">
      <w:pPr>
        <w:spacing w:after="0" w:line="288" w:lineRule="auto"/>
        <w:jc w:val="both"/>
        <w:rPr>
          <w:color w:val="4F6228"/>
          <w:sz w:val="24"/>
          <w:szCs w:val="24"/>
        </w:rPr>
      </w:pPr>
      <w:r>
        <w:rPr>
          <w:noProof/>
          <w:lang w:eastAsia="cs-CZ"/>
        </w:rPr>
        <mc:AlternateContent>
          <mc:Choice Requires="wps">
            <w:drawing>
              <wp:anchor distT="4294967294" distB="4294967294" distL="114300" distR="114300" simplePos="0" relativeHeight="251659264" behindDoc="0" locked="0" layoutInCell="1" allowOverlap="1">
                <wp:simplePos x="0" y="0"/>
                <wp:positionH relativeFrom="column">
                  <wp:posOffset>-4445</wp:posOffset>
                </wp:positionH>
                <wp:positionV relativeFrom="paragraph">
                  <wp:posOffset>142239</wp:posOffset>
                </wp:positionV>
                <wp:extent cx="2592070" cy="0"/>
                <wp:effectExtent l="0" t="19050" r="17780" b="3810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070" cy="0"/>
                        </a:xfrm>
                        <a:prstGeom prst="straightConnector1">
                          <a:avLst/>
                        </a:prstGeom>
                        <a:noFill/>
                        <a:ln w="50800">
                          <a:solidFill>
                            <a:srgbClr val="9BBB5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5pt;margin-top:11.2pt;width:204.1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" strokecolor="#9bbb59" strokeweight="4pt">
                <v:shadow color="#868686"/>
              </v:shape>
            </w:pict>
          </mc:Fallback>
        </mc:AlternateContent>
      </w:r>
    </w:p>
    <w:p w:rsidR="004215A0" w:rsidRDefault="004215A0" w:rsidP="000A16D6">
      <w:pPr>
        <w:pStyle w:val="Nzev"/>
        <w:rPr>
          <w:rFonts w:ascii="Calibri" w:hAnsi="Calibri"/>
          <w:color w:val="auto"/>
        </w:rPr>
      </w:pPr>
      <w:r>
        <w:rPr>
          <w:rFonts w:ascii="Calibri" w:hAnsi="Calibri"/>
          <w:color w:val="auto"/>
        </w:rPr>
        <w:lastRenderedPageBreak/>
        <w:t>Úvod</w:t>
      </w:r>
    </w:p>
    <w:p w:rsidR="004215A0" w:rsidRDefault="004215A0" w:rsidP="00B60B86">
      <w:pPr>
        <w:jc w:val="both"/>
        <w:rPr>
          <w:sz w:val="24"/>
          <w:szCs w:val="24"/>
        </w:rPr>
      </w:pPr>
      <w:r>
        <w:rPr>
          <w:sz w:val="24"/>
          <w:szCs w:val="24"/>
        </w:rPr>
        <w:t xml:space="preserve">Cílem této seminární práce je posoudit finanční situaci města Krásné Údolí. Zjištěná finanční data zvolené obce je nutné následně porovnat s průměrnými daty za Českou republiku </w:t>
      </w:r>
      <w:r>
        <w:rPr>
          <w:sz w:val="24"/>
          <w:szCs w:val="24"/>
        </w:rPr>
        <w:br/>
        <w:t xml:space="preserve">a zhodnotit výsledek. Nejdříve bude provedena stručná charakteristika města a poté bude přistoupeno k samotné analytické části práce. Z finanční analýzy budou získány informace ohledně zadluženosti, úspor, příjmů a výdajů obce. V práci jsou hodnoceny roky 2010 – 2013. Bohužel závěrečný účet obce Krásné Údolí za rok 2013 není ještě oficiálně zveřejněn, takže jen díky vstřícnosti starosty Bc. Martina Franka, lze tato data v práci interpretovat. Jelikož, nejsou zveřejněná ani průměrná data obcí v České republice, jsou v práci porovnávány pouze roky 2010, </w:t>
      </w:r>
      <w:smartTag w:uri="urn:schemas-microsoft-com:office:smarttags" w:element="metricconverter">
        <w:smartTagPr>
          <w:attr w:name="ProductID" w:val="2011 a"/>
        </w:smartTagPr>
        <w:r>
          <w:rPr>
            <w:sz w:val="24"/>
            <w:szCs w:val="24"/>
          </w:rPr>
          <w:t>2011 a</w:t>
        </w:r>
      </w:smartTag>
      <w:r>
        <w:rPr>
          <w:sz w:val="24"/>
          <w:szCs w:val="24"/>
        </w:rPr>
        <w:t xml:space="preserve"> 2012.</w:t>
      </w:r>
    </w:p>
    <w:p w:rsidR="004215A0" w:rsidRDefault="004215A0" w:rsidP="00B60B86">
      <w:pPr>
        <w:jc w:val="both"/>
        <w:rPr>
          <w:sz w:val="24"/>
          <w:szCs w:val="24"/>
        </w:rPr>
      </w:pPr>
    </w:p>
    <w:p w:rsidR="004215A0" w:rsidRDefault="004215A0" w:rsidP="00B60B86">
      <w:pPr>
        <w:jc w:val="both"/>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7941DE">
      <w:pPr>
        <w:rPr>
          <w:sz w:val="24"/>
          <w:szCs w:val="24"/>
        </w:rPr>
      </w:pPr>
    </w:p>
    <w:p w:rsidR="004215A0" w:rsidRDefault="004215A0" w:rsidP="000A16D6">
      <w:pPr>
        <w:pStyle w:val="Nzev"/>
        <w:rPr>
          <w:rFonts w:ascii="Calibri" w:hAnsi="Calibri"/>
          <w:color w:val="auto"/>
        </w:rPr>
      </w:pPr>
    </w:p>
    <w:p w:rsidR="004215A0" w:rsidRPr="00497079" w:rsidRDefault="004215A0" w:rsidP="000A16D6">
      <w:pPr>
        <w:pStyle w:val="Nzev"/>
        <w:rPr>
          <w:rFonts w:ascii="Calibri" w:hAnsi="Calibri"/>
          <w:color w:val="auto"/>
        </w:rPr>
      </w:pPr>
      <w:r w:rsidRPr="00497079">
        <w:rPr>
          <w:rFonts w:ascii="Calibri" w:hAnsi="Calibri"/>
          <w:color w:val="auto"/>
        </w:rPr>
        <w:lastRenderedPageBreak/>
        <w:t>Charakteristika obce</w:t>
      </w:r>
    </w:p>
    <w:p w:rsidR="004215A0" w:rsidRPr="007F047E" w:rsidRDefault="004215A0" w:rsidP="007F047E">
      <w:pPr>
        <w:pStyle w:val="Nadpis3"/>
        <w:spacing w:before="0" w:after="120" w:line="240" w:lineRule="auto"/>
        <w:rPr>
          <w:rFonts w:ascii="Calibri" w:hAnsi="Calibri"/>
          <w:b w:val="0"/>
          <w:color w:val="auto"/>
          <w:sz w:val="24"/>
          <w:szCs w:val="24"/>
        </w:rPr>
      </w:pPr>
      <w:bookmarkStart w:id="1" w:name="_Toc379566732"/>
      <w:r w:rsidRPr="007F047E">
        <w:rPr>
          <w:rFonts w:ascii="Calibri" w:hAnsi="Calibri"/>
          <w:color w:val="auto"/>
          <w:sz w:val="24"/>
          <w:szCs w:val="24"/>
        </w:rPr>
        <w:t>Obrázek č. 1:</w:t>
      </w:r>
      <w:r w:rsidRPr="007F047E">
        <w:rPr>
          <w:rFonts w:ascii="Calibri" w:hAnsi="Calibri"/>
          <w:b w:val="0"/>
          <w:color w:val="auto"/>
          <w:sz w:val="24"/>
          <w:szCs w:val="24"/>
        </w:rPr>
        <w:t xml:space="preserve"> Městský znak</w:t>
      </w:r>
      <w:bookmarkEnd w:id="1"/>
    </w:p>
    <w:p w:rsidR="004215A0" w:rsidRPr="0090648B" w:rsidRDefault="00955E9E" w:rsidP="00A57777">
      <w:pPr>
        <w:spacing w:after="0" w:line="288" w:lineRule="auto"/>
        <w:jc w:val="both"/>
        <w:rPr>
          <w:color w:val="4F6228"/>
          <w:sz w:val="24"/>
          <w:szCs w:val="24"/>
        </w:rPr>
      </w:pPr>
      <w:r>
        <w:rPr>
          <w:noProof/>
          <w:sz w:val="24"/>
          <w:szCs w:val="24"/>
          <w:lang w:eastAsia="cs-CZ"/>
        </w:rPr>
        <w:drawing>
          <wp:inline distT="0" distB="0" distL="0" distR="0">
            <wp:extent cx="1213104" cy="1447800"/>
            <wp:effectExtent l="0" t="0" r="6350" b="0"/>
            <wp:docPr id="1" name="obrázek 1" descr="File:ZNAK MĚSTA KRÁSNÉ ÚDOLÍ.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le:ZNAK MĚSTA KRÁSNÉ ÚDOLÍ.jpg"/>
                    <pic:cNvPicPr>
                      <a:picLocks noChangeAspect="1" noChangeArrowheads="1"/>
                    </pic:cNvPicPr>
                  </pic:nvPicPr>
                  <pic:blipFill>
                    <a:blip r:embed="rId8" cstate="print">
                      <a:duotone>
                        <a:schemeClr val="accent3">
                          <a:shade val="45000"/>
                          <a:satMod val="135000"/>
                        </a:schemeClr>
                        <a:prstClr val="white"/>
                      </a:duotone>
                    </a:blip>
                    <a:srcRect/>
                    <a:stretch>
                      <a:fillRect/>
                    </a:stretch>
                  </pic:blipFill>
                  <pic:spPr bwMode="auto">
                    <a:xfrm>
                      <a:off x="0" y="0"/>
                      <a:ext cx="1212850" cy="1447800"/>
                    </a:xfrm>
                    <a:prstGeom prst="rect">
                      <a:avLst/>
                    </a:prstGeom>
                    <a:noFill/>
                    <a:ln w="9525">
                      <a:noFill/>
                      <a:miter lim="800000"/>
                      <a:headEnd/>
                      <a:tailEnd/>
                    </a:ln>
                  </pic:spPr>
                </pic:pic>
              </a:graphicData>
            </a:graphic>
          </wp:inline>
        </w:drawing>
      </w:r>
    </w:p>
    <w:p w:rsidR="004215A0" w:rsidRPr="00BA5435" w:rsidRDefault="004215A0" w:rsidP="000A16D6">
      <w:pPr>
        <w:spacing w:before="120" w:after="0"/>
        <w:rPr>
          <w:sz w:val="18"/>
          <w:szCs w:val="18"/>
          <w:shd w:val="clear" w:color="auto" w:fill="FFFFFF"/>
        </w:rPr>
      </w:pPr>
      <w:r w:rsidRPr="00BA5435">
        <w:rPr>
          <w:sz w:val="18"/>
          <w:szCs w:val="18"/>
        </w:rPr>
        <w:t xml:space="preserve">Zdroj: </w:t>
      </w:r>
      <w:r w:rsidRPr="00BA5435">
        <w:rPr>
          <w:rStyle w:val="apple-converted-space"/>
          <w:sz w:val="18"/>
          <w:szCs w:val="18"/>
          <w:shd w:val="clear" w:color="auto" w:fill="FFFFFF"/>
        </w:rPr>
        <w:t> </w:t>
      </w:r>
      <w:r w:rsidRPr="00BA5435">
        <w:rPr>
          <w:i/>
          <w:iCs/>
          <w:sz w:val="18"/>
          <w:szCs w:val="18"/>
          <w:shd w:val="clear" w:color="auto" w:fill="FFFFFF"/>
        </w:rPr>
        <w:t>Město Krásné Údolí:</w:t>
      </w:r>
      <w:r w:rsidRPr="00BA5435">
        <w:rPr>
          <w:rStyle w:val="apple-converted-space"/>
          <w:i/>
          <w:iCs/>
          <w:sz w:val="18"/>
          <w:szCs w:val="18"/>
          <w:shd w:val="clear" w:color="auto" w:fill="FFFFFF"/>
        </w:rPr>
        <w:t> </w:t>
      </w:r>
      <w:r w:rsidRPr="00BA5435">
        <w:rPr>
          <w:i/>
          <w:iCs/>
          <w:sz w:val="18"/>
          <w:szCs w:val="18"/>
          <w:shd w:val="clear" w:color="auto" w:fill="FFFFFF"/>
        </w:rPr>
        <w:t>Informační portál města</w:t>
      </w:r>
      <w:r w:rsidRPr="00BA5435">
        <w:rPr>
          <w:sz w:val="18"/>
          <w:szCs w:val="18"/>
          <w:shd w:val="clear" w:color="auto" w:fill="FFFFFF"/>
        </w:rPr>
        <w:t>,</w:t>
      </w:r>
      <w:r w:rsidRPr="00BA5435">
        <w:rPr>
          <w:rStyle w:val="apple-converted-space"/>
          <w:i/>
          <w:iCs/>
          <w:sz w:val="18"/>
          <w:szCs w:val="18"/>
          <w:shd w:val="clear" w:color="auto" w:fill="FFFFFF"/>
        </w:rPr>
        <w:t> </w:t>
      </w:r>
      <w:r w:rsidRPr="00BA5435">
        <w:rPr>
          <w:sz w:val="18"/>
          <w:szCs w:val="18"/>
          <w:shd w:val="clear" w:color="auto" w:fill="FFFFFF"/>
        </w:rPr>
        <w:t>2014 [online]. Krasneudoli.</w:t>
      </w:r>
      <w:r>
        <w:rPr>
          <w:sz w:val="18"/>
          <w:szCs w:val="18"/>
          <w:shd w:val="clear" w:color="auto" w:fill="FFFFFF"/>
        </w:rPr>
        <w:t>cz</w:t>
      </w:r>
      <w:r w:rsidRPr="00BA5435">
        <w:rPr>
          <w:sz w:val="18"/>
          <w:szCs w:val="18"/>
          <w:shd w:val="clear" w:color="auto" w:fill="FFFFFF"/>
        </w:rPr>
        <w:t xml:space="preserve"> [cit. 3.2.2014]. </w:t>
      </w:r>
    </w:p>
    <w:p w:rsidR="004215A0" w:rsidRPr="00BA5435" w:rsidRDefault="004215A0" w:rsidP="000A16D6">
      <w:pPr>
        <w:spacing w:after="0"/>
        <w:rPr>
          <w:sz w:val="18"/>
          <w:szCs w:val="18"/>
          <w:shd w:val="clear" w:color="auto" w:fill="FFFFFF"/>
        </w:rPr>
      </w:pPr>
      <w:r w:rsidRPr="00BA5435">
        <w:rPr>
          <w:sz w:val="18"/>
          <w:szCs w:val="18"/>
          <w:shd w:val="clear" w:color="auto" w:fill="FFFFFF"/>
        </w:rPr>
        <w:t>Dostupné z: http://www.krasneudoli.cz/</w:t>
      </w:r>
    </w:p>
    <w:p w:rsidR="004215A0" w:rsidRDefault="004215A0" w:rsidP="00003303">
      <w:pPr>
        <w:spacing w:after="0" w:line="360" w:lineRule="auto"/>
        <w:rPr>
          <w:sz w:val="20"/>
          <w:szCs w:val="20"/>
          <w:shd w:val="clear" w:color="auto" w:fill="FFFFFF"/>
        </w:rPr>
      </w:pPr>
    </w:p>
    <w:p w:rsidR="004215A0" w:rsidRDefault="004215A0" w:rsidP="00003303">
      <w:pPr>
        <w:spacing w:after="0" w:line="360" w:lineRule="auto"/>
        <w:jc w:val="both"/>
        <w:rPr>
          <w:sz w:val="24"/>
          <w:szCs w:val="24"/>
          <w:shd w:val="clear" w:color="auto" w:fill="FFFFFF"/>
        </w:rPr>
      </w:pPr>
      <w:r>
        <w:rPr>
          <w:sz w:val="24"/>
          <w:szCs w:val="24"/>
          <w:shd w:val="clear" w:color="auto" w:fill="FFFFFF"/>
        </w:rPr>
        <w:t>Obec Krásné Údolí územně spadá do Karlovarského kraje a je zároveň součástí okresu Karlovy Vary. V současnosti v obci žije celkem 421 obyvatel. Převážnou většinu tvoří muži, kterých v obci žije 223. Průměrný věk v obci je 40,9 let, z čehož ženám je v průměru 43,4 let a mužům 38,8 let.</w:t>
      </w:r>
    </w:p>
    <w:p w:rsidR="004215A0" w:rsidRPr="0006126F" w:rsidRDefault="004215A0" w:rsidP="0006126F">
      <w:pPr>
        <w:spacing w:after="0" w:line="360" w:lineRule="auto"/>
        <w:jc w:val="both"/>
        <w:rPr>
          <w:sz w:val="24"/>
          <w:szCs w:val="24"/>
        </w:rPr>
      </w:pPr>
      <w:r>
        <w:rPr>
          <w:sz w:val="24"/>
          <w:szCs w:val="24"/>
        </w:rPr>
        <w:t>Mezi občanskou vybavenost obce Krásné Údolí patří mateřská školka, lékař, kulturní dům, kostel, knihovna, autobusová zastávka a nákupní středisko. Vzhledem k tomu, že Krásné Údolí patří k menším obcím, je občanská vybavenost dostačující.</w:t>
      </w:r>
    </w:p>
    <w:p w:rsidR="004215A0" w:rsidRPr="007F047E" w:rsidRDefault="004215A0" w:rsidP="007F047E">
      <w:pPr>
        <w:pStyle w:val="Nadpis3"/>
        <w:spacing w:before="240" w:line="240" w:lineRule="auto"/>
        <w:rPr>
          <w:rFonts w:ascii="Calibri" w:hAnsi="Calibri"/>
          <w:b w:val="0"/>
          <w:color w:val="auto"/>
          <w:sz w:val="24"/>
          <w:szCs w:val="24"/>
          <w:shd w:val="clear" w:color="auto" w:fill="FFFFFF"/>
        </w:rPr>
      </w:pPr>
      <w:bookmarkStart w:id="2" w:name="_Toc379566733"/>
      <w:r w:rsidRPr="007F047E">
        <w:rPr>
          <w:rFonts w:ascii="Calibri" w:hAnsi="Calibri"/>
          <w:color w:val="auto"/>
          <w:sz w:val="24"/>
          <w:szCs w:val="24"/>
          <w:shd w:val="clear" w:color="auto" w:fill="FFFFFF"/>
        </w:rPr>
        <w:t>Obrázek č. 2:</w:t>
      </w:r>
      <w:r w:rsidRPr="007F047E">
        <w:rPr>
          <w:rFonts w:ascii="Calibri" w:hAnsi="Calibri"/>
          <w:b w:val="0"/>
          <w:color w:val="auto"/>
          <w:sz w:val="24"/>
          <w:szCs w:val="24"/>
          <w:shd w:val="clear" w:color="auto" w:fill="FFFFFF"/>
        </w:rPr>
        <w:t xml:space="preserve"> Teritoriální vymezení obce Krásné Údolí v rámci ČR</w:t>
      </w:r>
      <w:bookmarkEnd w:id="2"/>
    </w:p>
    <w:p w:rsidR="004215A0" w:rsidRDefault="00955E9E" w:rsidP="001A06B5">
      <w:pPr>
        <w:spacing w:before="240" w:after="0" w:line="360" w:lineRule="auto"/>
        <w:jc w:val="both"/>
        <w:rPr>
          <w:sz w:val="24"/>
          <w:szCs w:val="24"/>
          <w:shd w:val="clear" w:color="auto" w:fill="FFFFFF"/>
        </w:rPr>
      </w:pPr>
      <w:r>
        <w:rPr>
          <w:noProof/>
          <w:lang w:eastAsia="cs-CZ"/>
        </w:rPr>
        <w:drawing>
          <wp:anchor distT="85599" distB="212880" distL="380357" distR="209018" simplePos="0" relativeHeight="251660288" behindDoc="0" locked="0" layoutInCell="1" allowOverlap="1">
            <wp:simplePos x="0" y="0"/>
            <wp:positionH relativeFrom="column">
              <wp:posOffset>111760</wp:posOffset>
            </wp:positionH>
            <wp:positionV relativeFrom="paragraph">
              <wp:posOffset>106680</wp:posOffset>
            </wp:positionV>
            <wp:extent cx="1322123" cy="2161615"/>
            <wp:effectExtent l="133350" t="57150" r="106680" b="143510"/>
            <wp:wrapSquare wrapText="bothSides"/>
            <wp:docPr id="7" name="obrázek 1" descr="http://upload.wikimedia.org/wikipedia/commons/thumb/c/cb/Krasne_Udoli_KV_CZ.png/225px-Krasne_Udoli_KV_CZ.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b/Krasne_Udoli_KV_CZ.png/225px-Krasne_Udoli_KV_CZ.png"/>
                    <pic:cNvPicPr>
                      <a:picLocks noChangeAspect="1" noChangeArrowheads="1"/>
                    </pic:cNvPicPr>
                  </pic:nvPicPr>
                  <pic:blipFill>
                    <a:blip r:embed="rId9">
                      <a:duotone>
                        <a:schemeClr val="accent3">
                          <a:shade val="45000"/>
                          <a:satMod val="135000"/>
                        </a:schemeClr>
                        <a:prstClr val="white"/>
                      </a:duotone>
                    </a:blip>
                    <a:srcRect/>
                    <a:stretch>
                      <a:fillRect/>
                    </a:stretch>
                  </pic:blipFill>
                  <pic:spPr bwMode="auto">
                    <a:xfrm>
                      <a:off x="0" y="0"/>
                      <a:ext cx="1322070" cy="21615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4215A0">
        <w:rPr>
          <w:sz w:val="24"/>
          <w:szCs w:val="24"/>
          <w:shd w:val="clear" w:color="auto" w:fill="FFFFFF"/>
        </w:rPr>
        <w:t>Starostou obce je Bc. Martin Frank, který je ve funkci od roku 2010, kdy se 157 hlasy zvítězil v komunálních volbách do zastupitelstev měst a obcí.</w:t>
      </w:r>
      <w:r w:rsidR="004215A0">
        <w:rPr>
          <w:rStyle w:val="Znakapoznpodarou"/>
          <w:sz w:val="24"/>
          <w:szCs w:val="24"/>
          <w:shd w:val="clear" w:color="auto" w:fill="FFFFFF"/>
        </w:rPr>
        <w:footnoteReference w:id="1"/>
      </w:r>
    </w:p>
    <w:p w:rsidR="004215A0" w:rsidRDefault="004215A0" w:rsidP="00FD2A6E">
      <w:pPr>
        <w:spacing w:before="120" w:after="0" w:line="360" w:lineRule="auto"/>
        <w:jc w:val="both"/>
        <w:rPr>
          <w:sz w:val="24"/>
          <w:szCs w:val="24"/>
          <w:shd w:val="clear" w:color="auto" w:fill="FFFFFF"/>
        </w:rPr>
      </w:pPr>
      <w:r>
        <w:rPr>
          <w:sz w:val="24"/>
          <w:szCs w:val="24"/>
          <w:shd w:val="clear" w:color="auto" w:fill="FFFFFF"/>
        </w:rPr>
        <w:t>V únoru roku 2012 došlo na základě žádosti obce a následného rozhodnutí předsedkyně Poslanecké sněmovny Miroslavy Němcové ke změně statutu samosprávného celku z obce na město. Této žádosti předcházelo přijetí dvou klíčových obecních usnesení, které v souladu zákona o obcích danou žádost potvrdily.</w:t>
      </w:r>
      <w:r>
        <w:rPr>
          <w:rStyle w:val="Znakapoznpodarou"/>
          <w:sz w:val="24"/>
          <w:szCs w:val="24"/>
          <w:shd w:val="clear" w:color="auto" w:fill="FFFFFF"/>
        </w:rPr>
        <w:footnoteReference w:id="2"/>
      </w:r>
    </w:p>
    <w:p w:rsidR="004215A0" w:rsidRPr="001A06B5" w:rsidRDefault="004215A0" w:rsidP="008251CF">
      <w:pPr>
        <w:spacing w:before="120" w:after="0"/>
        <w:rPr>
          <w:sz w:val="18"/>
          <w:szCs w:val="18"/>
          <w:shd w:val="clear" w:color="auto" w:fill="FFFFFF"/>
        </w:rPr>
      </w:pPr>
      <w:r>
        <w:rPr>
          <w:sz w:val="18"/>
          <w:szCs w:val="18"/>
          <w:shd w:val="clear" w:color="auto" w:fill="FFFFFF"/>
        </w:rPr>
        <w:t>Zdroj</w:t>
      </w:r>
      <w:r w:rsidRPr="002E4A29">
        <w:rPr>
          <w:i/>
          <w:sz w:val="18"/>
          <w:szCs w:val="18"/>
          <w:shd w:val="clear" w:color="auto" w:fill="FFFFFF"/>
        </w:rPr>
        <w:t>: Otevřená encyklopedie Wikipedie: Krásné Údolí, 2014</w:t>
      </w:r>
      <w:r>
        <w:rPr>
          <w:sz w:val="18"/>
          <w:szCs w:val="18"/>
          <w:shd w:val="clear" w:color="auto" w:fill="FFFFFF"/>
        </w:rPr>
        <w:t>[online]. Wikipedia</w:t>
      </w:r>
      <w:r w:rsidRPr="00BA5435">
        <w:rPr>
          <w:sz w:val="18"/>
          <w:szCs w:val="18"/>
          <w:shd w:val="clear" w:color="auto" w:fill="FFFFFF"/>
        </w:rPr>
        <w:t>.</w:t>
      </w:r>
      <w:r>
        <w:rPr>
          <w:sz w:val="18"/>
          <w:szCs w:val="18"/>
          <w:shd w:val="clear" w:color="auto" w:fill="FFFFFF"/>
        </w:rPr>
        <w:t>org</w:t>
      </w:r>
      <w:r w:rsidRPr="00BA5435">
        <w:rPr>
          <w:sz w:val="18"/>
          <w:szCs w:val="18"/>
          <w:shd w:val="clear" w:color="auto" w:fill="FFFFFF"/>
        </w:rPr>
        <w:t xml:space="preserve"> [cit. 3.2.2014]. </w:t>
      </w:r>
      <w:r>
        <w:rPr>
          <w:sz w:val="18"/>
          <w:szCs w:val="18"/>
          <w:shd w:val="clear" w:color="auto" w:fill="FFFFFF"/>
        </w:rPr>
        <w:t>Dostupné z:</w:t>
      </w:r>
      <w:r w:rsidRPr="00AB60AC">
        <w:rPr>
          <w:sz w:val="18"/>
          <w:szCs w:val="18"/>
          <w:shd w:val="clear" w:color="auto" w:fill="FFFFFF"/>
        </w:rPr>
        <w:t>http://cs.wikipedia.org/wiki/Kr%C3%A1sn%C3%A9_%C3%9Adol%C3%AD</w:t>
      </w:r>
    </w:p>
    <w:p w:rsidR="004215A0" w:rsidRPr="00497079" w:rsidRDefault="004215A0" w:rsidP="00497079">
      <w:pPr>
        <w:pStyle w:val="Nzev"/>
        <w:rPr>
          <w:rFonts w:ascii="Calibri" w:hAnsi="Calibri"/>
          <w:color w:val="auto"/>
          <w:shd w:val="clear" w:color="auto" w:fill="FFFFFF"/>
        </w:rPr>
      </w:pPr>
      <w:r w:rsidRPr="00497079">
        <w:rPr>
          <w:rFonts w:ascii="Calibri" w:hAnsi="Calibri"/>
          <w:color w:val="auto"/>
          <w:shd w:val="clear" w:color="auto" w:fill="FFFFFF"/>
        </w:rPr>
        <w:t>Finanční situace obce</w:t>
      </w:r>
    </w:p>
    <w:p w:rsidR="004215A0" w:rsidRDefault="004215A0" w:rsidP="000002E6">
      <w:pPr>
        <w:spacing w:after="0"/>
        <w:jc w:val="both"/>
        <w:rPr>
          <w:sz w:val="24"/>
          <w:szCs w:val="24"/>
          <w:shd w:val="clear" w:color="auto" w:fill="FFFFFF"/>
        </w:rPr>
      </w:pPr>
      <w:r>
        <w:rPr>
          <w:sz w:val="24"/>
          <w:szCs w:val="24"/>
          <w:shd w:val="clear" w:color="auto" w:fill="FFFFFF"/>
        </w:rPr>
        <w:t>Finanční situace Krásného Údolí bude kromě přepočtu jednotlivých ukazatelů na obyvatele obce posuzována i celorepublikově. Tabulka č. 1 uvádí počet obyvatel obce k danému roku. Z tabulky je patrné, že počet obyvatel se stabilně pohybuje nad hranicí 400 obyvatel.</w:t>
      </w:r>
    </w:p>
    <w:p w:rsidR="004215A0" w:rsidRPr="00F06285" w:rsidRDefault="004215A0" w:rsidP="000A16D6">
      <w:pPr>
        <w:spacing w:after="0"/>
        <w:rPr>
          <w:sz w:val="24"/>
          <w:szCs w:val="24"/>
          <w:shd w:val="clear" w:color="auto" w:fill="FFFFFF"/>
        </w:rPr>
      </w:pPr>
    </w:p>
    <w:p w:rsidR="004215A0" w:rsidRPr="004F53A7" w:rsidRDefault="004215A0" w:rsidP="004F53A7">
      <w:pPr>
        <w:pStyle w:val="Nadpis2"/>
        <w:spacing w:before="0" w:line="240" w:lineRule="auto"/>
        <w:rPr>
          <w:rFonts w:ascii="Calibri" w:hAnsi="Calibri"/>
          <w:b w:val="0"/>
          <w:color w:val="auto"/>
          <w:sz w:val="24"/>
          <w:szCs w:val="24"/>
          <w:shd w:val="clear" w:color="auto" w:fill="FFFFFF"/>
        </w:rPr>
      </w:pPr>
      <w:bookmarkStart w:id="3" w:name="_Toc379566719"/>
      <w:r w:rsidRPr="004F53A7">
        <w:rPr>
          <w:rFonts w:ascii="Calibri" w:hAnsi="Calibri"/>
          <w:color w:val="auto"/>
          <w:sz w:val="24"/>
          <w:szCs w:val="24"/>
          <w:shd w:val="clear" w:color="auto" w:fill="FFFFFF"/>
        </w:rPr>
        <w:t>Tabulka č. 1:</w:t>
      </w:r>
      <w:r w:rsidRPr="004F53A7">
        <w:rPr>
          <w:rFonts w:ascii="Calibri" w:hAnsi="Calibri"/>
          <w:b w:val="0"/>
          <w:color w:val="auto"/>
          <w:sz w:val="24"/>
          <w:szCs w:val="24"/>
          <w:shd w:val="clear" w:color="auto" w:fill="FFFFFF"/>
        </w:rPr>
        <w:t xml:space="preserve"> Počet obyvatel obce Krásné Údolí k 1.1. daného roku (v osobách)</w:t>
      </w:r>
      <w:bookmarkEnd w:id="3"/>
    </w:p>
    <w:tbl>
      <w:tblPr>
        <w:tblpPr w:leftFromText="141" w:rightFromText="141" w:vertAnchor="text" w:horzAnchor="margin" w:tblpY="72"/>
        <w:tblW w:w="780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093"/>
        <w:gridCol w:w="1417"/>
        <w:gridCol w:w="1418"/>
        <w:gridCol w:w="1275"/>
        <w:gridCol w:w="1605"/>
      </w:tblGrid>
      <w:tr w:rsidR="004215A0" w:rsidRPr="002C0E33" w:rsidTr="008251CF">
        <w:trPr>
          <w:trHeight w:val="454"/>
        </w:trPr>
        <w:tc>
          <w:tcPr>
            <w:tcW w:w="2093"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p>
        </w:tc>
        <w:tc>
          <w:tcPr>
            <w:tcW w:w="1417"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418"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275"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c>
          <w:tcPr>
            <w:tcW w:w="1605"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2013</w:t>
            </w:r>
          </w:p>
        </w:tc>
      </w:tr>
      <w:tr w:rsidR="004215A0" w:rsidRPr="002C0E33" w:rsidTr="008251CF">
        <w:trPr>
          <w:trHeight w:val="454"/>
        </w:trPr>
        <w:tc>
          <w:tcPr>
            <w:tcW w:w="2093" w:type="dxa"/>
            <w:tcBorders>
              <w:top w:val="single" w:sz="8" w:space="0" w:color="9BBB59"/>
              <w:bottom w:val="single" w:sz="8" w:space="0" w:color="9BBB59"/>
            </w:tcBorders>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Počet obyvatel</w:t>
            </w:r>
          </w:p>
        </w:tc>
        <w:tc>
          <w:tcPr>
            <w:tcW w:w="1417" w:type="dxa"/>
            <w:tcBorders>
              <w:top w:val="single" w:sz="8" w:space="0" w:color="9BBB59"/>
              <w:bottom w:val="single" w:sz="8" w:space="0" w:color="9BBB59"/>
            </w:tcBorders>
            <w:noWrap/>
            <w:vAlign w:val="center"/>
          </w:tcPr>
          <w:p w:rsidR="004215A0" w:rsidRPr="002C0E33" w:rsidRDefault="004215A0" w:rsidP="002C0E33">
            <w:pPr>
              <w:spacing w:after="0" w:line="240" w:lineRule="auto"/>
              <w:jc w:val="center"/>
              <w:rPr>
                <w:rFonts w:ascii="Times New Roman" w:hAnsi="Times New Roman"/>
                <w:color w:val="000000"/>
                <w:sz w:val="24"/>
                <w:szCs w:val="24"/>
                <w:lang w:eastAsia="cs-CZ"/>
              </w:rPr>
            </w:pPr>
            <w:r w:rsidRPr="002C0E33">
              <w:rPr>
                <w:rFonts w:ascii="Times New Roman" w:hAnsi="Times New Roman"/>
                <w:color w:val="000000"/>
                <w:sz w:val="24"/>
                <w:szCs w:val="24"/>
                <w:lang w:eastAsia="cs-CZ"/>
              </w:rPr>
              <w:t>431</w:t>
            </w:r>
          </w:p>
        </w:tc>
        <w:tc>
          <w:tcPr>
            <w:tcW w:w="1418" w:type="dxa"/>
            <w:tcBorders>
              <w:top w:val="single" w:sz="8" w:space="0" w:color="9BBB59"/>
              <w:bottom w:val="single" w:sz="8" w:space="0" w:color="9BBB59"/>
            </w:tcBorders>
            <w:noWrap/>
            <w:vAlign w:val="center"/>
          </w:tcPr>
          <w:p w:rsidR="004215A0" w:rsidRPr="002C0E33" w:rsidRDefault="004215A0" w:rsidP="002C0E33">
            <w:pPr>
              <w:spacing w:after="0" w:line="240" w:lineRule="auto"/>
              <w:jc w:val="center"/>
              <w:rPr>
                <w:rFonts w:ascii="Times New Roman" w:hAnsi="Times New Roman"/>
                <w:color w:val="000000"/>
                <w:sz w:val="24"/>
                <w:szCs w:val="24"/>
                <w:lang w:eastAsia="cs-CZ"/>
              </w:rPr>
            </w:pPr>
            <w:r w:rsidRPr="002C0E33">
              <w:rPr>
                <w:rFonts w:ascii="Times New Roman" w:hAnsi="Times New Roman"/>
                <w:color w:val="000000"/>
                <w:sz w:val="24"/>
                <w:szCs w:val="24"/>
                <w:lang w:eastAsia="cs-CZ"/>
              </w:rPr>
              <w:t>434</w:t>
            </w:r>
          </w:p>
        </w:tc>
        <w:tc>
          <w:tcPr>
            <w:tcW w:w="1275" w:type="dxa"/>
            <w:tcBorders>
              <w:top w:val="single" w:sz="8" w:space="0" w:color="9BBB59"/>
              <w:bottom w:val="single" w:sz="8" w:space="0" w:color="9BBB59"/>
            </w:tcBorders>
            <w:noWrap/>
            <w:vAlign w:val="center"/>
          </w:tcPr>
          <w:p w:rsidR="004215A0" w:rsidRPr="002C0E33" w:rsidRDefault="004215A0" w:rsidP="002C0E33">
            <w:pPr>
              <w:spacing w:after="0" w:line="240" w:lineRule="auto"/>
              <w:jc w:val="center"/>
              <w:rPr>
                <w:rFonts w:ascii="Times New Roman" w:hAnsi="Times New Roman"/>
                <w:color w:val="000000"/>
                <w:sz w:val="24"/>
                <w:szCs w:val="24"/>
                <w:lang w:eastAsia="cs-CZ"/>
              </w:rPr>
            </w:pPr>
            <w:r w:rsidRPr="002C0E33">
              <w:rPr>
                <w:rFonts w:ascii="Times New Roman" w:hAnsi="Times New Roman"/>
                <w:color w:val="000000"/>
                <w:sz w:val="24"/>
                <w:szCs w:val="24"/>
                <w:lang w:eastAsia="cs-CZ"/>
              </w:rPr>
              <w:t>421</w:t>
            </w:r>
          </w:p>
        </w:tc>
        <w:tc>
          <w:tcPr>
            <w:tcW w:w="1605" w:type="dxa"/>
            <w:tcBorders>
              <w:top w:val="single" w:sz="8" w:space="0" w:color="9BBB59"/>
              <w:bottom w:val="single" w:sz="8" w:space="0" w:color="9BBB59"/>
            </w:tcBorders>
            <w:noWrap/>
            <w:vAlign w:val="center"/>
          </w:tcPr>
          <w:p w:rsidR="004215A0" w:rsidRPr="002C0E33" w:rsidRDefault="004215A0" w:rsidP="002C0E33">
            <w:pPr>
              <w:spacing w:after="0" w:line="240" w:lineRule="auto"/>
              <w:jc w:val="center"/>
              <w:rPr>
                <w:rFonts w:ascii="Times New Roman" w:hAnsi="Times New Roman"/>
                <w:color w:val="000000"/>
                <w:sz w:val="24"/>
                <w:szCs w:val="24"/>
                <w:lang w:eastAsia="cs-CZ"/>
              </w:rPr>
            </w:pPr>
            <w:r w:rsidRPr="002C0E33">
              <w:rPr>
                <w:rFonts w:ascii="Times New Roman" w:hAnsi="Times New Roman"/>
                <w:color w:val="000000"/>
                <w:sz w:val="24"/>
                <w:szCs w:val="24"/>
                <w:lang w:eastAsia="cs-CZ"/>
              </w:rPr>
              <w:t>421</w:t>
            </w:r>
          </w:p>
        </w:tc>
      </w:tr>
    </w:tbl>
    <w:p w:rsidR="004215A0" w:rsidRDefault="004215A0" w:rsidP="00836362">
      <w:pPr>
        <w:spacing w:after="0" w:line="360" w:lineRule="auto"/>
        <w:rPr>
          <w:sz w:val="20"/>
          <w:szCs w:val="20"/>
        </w:rPr>
      </w:pPr>
    </w:p>
    <w:p w:rsidR="004215A0" w:rsidRDefault="004215A0" w:rsidP="00836362">
      <w:pPr>
        <w:spacing w:after="0" w:line="360" w:lineRule="auto"/>
        <w:rPr>
          <w:sz w:val="20"/>
          <w:szCs w:val="20"/>
        </w:rPr>
      </w:pPr>
    </w:p>
    <w:p w:rsidR="004215A0" w:rsidRDefault="004215A0" w:rsidP="00836362">
      <w:pPr>
        <w:spacing w:after="0" w:line="240" w:lineRule="auto"/>
        <w:rPr>
          <w:sz w:val="20"/>
          <w:szCs w:val="20"/>
        </w:rPr>
      </w:pPr>
    </w:p>
    <w:p w:rsidR="004215A0" w:rsidRDefault="004215A0" w:rsidP="00836362">
      <w:pPr>
        <w:spacing w:after="0" w:line="240" w:lineRule="auto"/>
        <w:rPr>
          <w:sz w:val="20"/>
          <w:szCs w:val="20"/>
        </w:rPr>
      </w:pPr>
    </w:p>
    <w:p w:rsidR="004215A0" w:rsidRPr="00497079" w:rsidRDefault="004215A0" w:rsidP="00497079">
      <w:pPr>
        <w:spacing w:after="0" w:line="240" w:lineRule="auto"/>
        <w:rPr>
          <w:sz w:val="20"/>
          <w:szCs w:val="20"/>
        </w:rPr>
      </w:pPr>
      <w:r>
        <w:rPr>
          <w:sz w:val="20"/>
          <w:szCs w:val="20"/>
        </w:rPr>
        <w:t xml:space="preserve">Zdroj: </w:t>
      </w:r>
      <w:r w:rsidRPr="00BA5435">
        <w:rPr>
          <w:i/>
          <w:sz w:val="18"/>
          <w:szCs w:val="18"/>
        </w:rPr>
        <w:t>Český statistický úřad:Počet obyvatel – stav k 1.1.2013</w:t>
      </w:r>
      <w:r w:rsidRPr="00BA5435">
        <w:rPr>
          <w:sz w:val="18"/>
          <w:szCs w:val="18"/>
        </w:rPr>
        <w:t xml:space="preserve">, </w:t>
      </w:r>
      <w:r>
        <w:rPr>
          <w:color w:val="000000"/>
          <w:sz w:val="18"/>
          <w:szCs w:val="18"/>
          <w:shd w:val="clear" w:color="auto" w:fill="FFFFFF"/>
        </w:rPr>
        <w:t>2013 [online]. ČSÚ</w:t>
      </w:r>
      <w:r w:rsidRPr="00BA5435">
        <w:rPr>
          <w:color w:val="000000"/>
          <w:sz w:val="18"/>
          <w:szCs w:val="18"/>
          <w:shd w:val="clear" w:color="auto" w:fill="FFFFFF"/>
        </w:rPr>
        <w:t>. [cit. 3.2.2014]. Dostupné z: http://www.czso.cz/xk/redakce.nsf/i/pocet_obyvatel_stav_k_1_1_2013</w:t>
      </w:r>
    </w:p>
    <w:p w:rsidR="004215A0" w:rsidRDefault="004215A0" w:rsidP="00836362">
      <w:pPr>
        <w:spacing w:after="0" w:line="240" w:lineRule="auto"/>
        <w:rPr>
          <w:color w:val="000000"/>
          <w:sz w:val="18"/>
          <w:szCs w:val="18"/>
          <w:shd w:val="clear" w:color="auto" w:fill="FFFFFF"/>
        </w:rPr>
      </w:pPr>
      <w:r w:rsidRPr="00BA5435">
        <w:rPr>
          <w:i/>
          <w:sz w:val="18"/>
          <w:szCs w:val="18"/>
        </w:rPr>
        <w:t>Český statistický úřad:Počet obyvatel – stav k 1.1.201</w:t>
      </w:r>
      <w:r>
        <w:rPr>
          <w:i/>
          <w:sz w:val="18"/>
          <w:szCs w:val="18"/>
        </w:rPr>
        <w:t>2</w:t>
      </w:r>
      <w:r w:rsidRPr="00BA5435">
        <w:rPr>
          <w:sz w:val="18"/>
          <w:szCs w:val="18"/>
        </w:rPr>
        <w:t xml:space="preserve">, </w:t>
      </w:r>
      <w:r>
        <w:rPr>
          <w:color w:val="000000"/>
          <w:sz w:val="18"/>
          <w:szCs w:val="18"/>
          <w:shd w:val="clear" w:color="auto" w:fill="FFFFFF"/>
        </w:rPr>
        <w:t>2012 [online]. ČSÚ</w:t>
      </w:r>
      <w:r w:rsidRPr="00BA5435">
        <w:rPr>
          <w:color w:val="000000"/>
          <w:sz w:val="18"/>
          <w:szCs w:val="18"/>
          <w:shd w:val="clear" w:color="auto" w:fill="FFFFFF"/>
        </w:rPr>
        <w:t>. [cit. 3.2.2014]. Dostupné z: http://www.czso.cz/xk/redakce.nsf/i/pocet_obyvatel_stav_k_1_1_2012</w:t>
      </w:r>
    </w:p>
    <w:p w:rsidR="004215A0" w:rsidRDefault="004215A0" w:rsidP="00836362">
      <w:pPr>
        <w:spacing w:after="0" w:line="240" w:lineRule="auto"/>
        <w:rPr>
          <w:color w:val="000000"/>
          <w:sz w:val="18"/>
          <w:szCs w:val="18"/>
          <w:shd w:val="clear" w:color="auto" w:fill="FFFFFF"/>
        </w:rPr>
      </w:pPr>
      <w:r w:rsidRPr="00BA5435">
        <w:rPr>
          <w:i/>
          <w:sz w:val="18"/>
          <w:szCs w:val="18"/>
        </w:rPr>
        <w:t>Český statistický úřad:Počet obyvatel – stav k 1.1.201</w:t>
      </w:r>
      <w:r>
        <w:rPr>
          <w:i/>
          <w:sz w:val="18"/>
          <w:szCs w:val="18"/>
        </w:rPr>
        <w:t>1</w:t>
      </w:r>
      <w:r w:rsidRPr="00BA5435">
        <w:rPr>
          <w:sz w:val="18"/>
          <w:szCs w:val="18"/>
        </w:rPr>
        <w:t xml:space="preserve">, </w:t>
      </w:r>
      <w:r>
        <w:rPr>
          <w:color w:val="000000"/>
          <w:sz w:val="18"/>
          <w:szCs w:val="18"/>
          <w:shd w:val="clear" w:color="auto" w:fill="FFFFFF"/>
        </w:rPr>
        <w:t>2011 [online]. ČSÚ</w:t>
      </w:r>
      <w:r w:rsidRPr="00BA5435">
        <w:rPr>
          <w:color w:val="000000"/>
          <w:sz w:val="18"/>
          <w:szCs w:val="18"/>
          <w:shd w:val="clear" w:color="auto" w:fill="FFFFFF"/>
        </w:rPr>
        <w:t>. [cit. 3.2.2014]. Dostupné z: http://www.czso.cz/xk/redakce.nsf/i/pocet_obyvatel_stav_k_1_1_2011</w:t>
      </w:r>
    </w:p>
    <w:p w:rsidR="004215A0" w:rsidRDefault="004215A0" w:rsidP="00836362">
      <w:pPr>
        <w:spacing w:after="0" w:line="240" w:lineRule="auto"/>
        <w:rPr>
          <w:color w:val="000000"/>
          <w:sz w:val="18"/>
          <w:szCs w:val="18"/>
          <w:shd w:val="clear" w:color="auto" w:fill="FFFFFF"/>
        </w:rPr>
      </w:pPr>
      <w:r w:rsidRPr="00BA5435">
        <w:rPr>
          <w:i/>
          <w:sz w:val="18"/>
          <w:szCs w:val="18"/>
        </w:rPr>
        <w:t>Český statistický úřad:Počet obyvatel – stav k 1.1.201</w:t>
      </w:r>
      <w:r>
        <w:rPr>
          <w:i/>
          <w:sz w:val="18"/>
          <w:szCs w:val="18"/>
        </w:rPr>
        <w:t>0</w:t>
      </w:r>
      <w:r w:rsidRPr="00BA5435">
        <w:rPr>
          <w:sz w:val="18"/>
          <w:szCs w:val="18"/>
        </w:rPr>
        <w:t xml:space="preserve">, </w:t>
      </w:r>
      <w:r>
        <w:rPr>
          <w:color w:val="000000"/>
          <w:sz w:val="18"/>
          <w:szCs w:val="18"/>
          <w:shd w:val="clear" w:color="auto" w:fill="FFFFFF"/>
        </w:rPr>
        <w:t>2010 [online]. ČSÚ</w:t>
      </w:r>
      <w:r w:rsidRPr="00BA5435">
        <w:rPr>
          <w:color w:val="000000"/>
          <w:sz w:val="18"/>
          <w:szCs w:val="18"/>
          <w:shd w:val="clear" w:color="auto" w:fill="FFFFFF"/>
        </w:rPr>
        <w:t xml:space="preserve">. [cit. 3.2.2014]. Dostupné z: </w:t>
      </w:r>
      <w:r w:rsidRPr="00FE45AE">
        <w:rPr>
          <w:color w:val="000000"/>
          <w:sz w:val="18"/>
          <w:szCs w:val="18"/>
          <w:shd w:val="clear" w:color="auto" w:fill="FFFFFF"/>
        </w:rPr>
        <w:t>http://www.czso.cz/xk/redakce.nsf/i/pocet_obyvatel_stav_k_1_1_2010</w:t>
      </w:r>
    </w:p>
    <w:p w:rsidR="004215A0" w:rsidRDefault="004215A0" w:rsidP="00836362">
      <w:pPr>
        <w:spacing w:after="0" w:line="240" w:lineRule="auto"/>
        <w:rPr>
          <w:color w:val="000000"/>
          <w:sz w:val="18"/>
          <w:szCs w:val="18"/>
          <w:shd w:val="clear" w:color="auto" w:fill="FFFFFF"/>
        </w:rPr>
      </w:pPr>
    </w:p>
    <w:p w:rsidR="004215A0" w:rsidRPr="004F53A7" w:rsidRDefault="004215A0" w:rsidP="004F53A7">
      <w:pPr>
        <w:pStyle w:val="Nadpis2"/>
        <w:spacing w:before="0" w:line="240" w:lineRule="auto"/>
        <w:rPr>
          <w:rFonts w:ascii="Calibri" w:hAnsi="Calibri"/>
          <w:b w:val="0"/>
          <w:color w:val="auto"/>
          <w:sz w:val="24"/>
          <w:szCs w:val="24"/>
          <w:shd w:val="clear" w:color="auto" w:fill="FFFFFF"/>
        </w:rPr>
      </w:pPr>
      <w:bookmarkStart w:id="4" w:name="_Toc379566720"/>
      <w:r w:rsidRPr="004F53A7">
        <w:rPr>
          <w:rFonts w:ascii="Calibri" w:hAnsi="Calibri"/>
          <w:color w:val="auto"/>
          <w:sz w:val="24"/>
          <w:szCs w:val="24"/>
          <w:shd w:val="clear" w:color="auto" w:fill="FFFFFF"/>
        </w:rPr>
        <w:t>Tabulka č. 2:</w:t>
      </w:r>
      <w:r w:rsidRPr="004F53A7">
        <w:rPr>
          <w:rFonts w:ascii="Calibri" w:hAnsi="Calibri"/>
          <w:b w:val="0"/>
          <w:color w:val="auto"/>
          <w:sz w:val="24"/>
          <w:szCs w:val="24"/>
          <w:shd w:val="clear" w:color="auto" w:fill="FFFFFF"/>
        </w:rPr>
        <w:t xml:space="preserve"> Počet obyvatel ČR k danému roku (v osobách)</w:t>
      </w:r>
      <w:bookmarkEnd w:id="4"/>
    </w:p>
    <w:tbl>
      <w:tblPr>
        <w:tblpPr w:leftFromText="141" w:rightFromText="141" w:vertAnchor="text" w:horzAnchor="margin" w:tblpY="72"/>
        <w:tblW w:w="7815"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2093"/>
        <w:gridCol w:w="1417"/>
        <w:gridCol w:w="1418"/>
        <w:gridCol w:w="1395"/>
        <w:gridCol w:w="1492"/>
      </w:tblGrid>
      <w:tr w:rsidR="004215A0" w:rsidRPr="002C0E33" w:rsidTr="008251CF">
        <w:trPr>
          <w:trHeight w:val="454"/>
        </w:trPr>
        <w:tc>
          <w:tcPr>
            <w:tcW w:w="2093"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p>
        </w:tc>
        <w:tc>
          <w:tcPr>
            <w:tcW w:w="1417"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418"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395"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c>
          <w:tcPr>
            <w:tcW w:w="1492" w:type="dxa"/>
            <w:tcBorders>
              <w:top w:val="single" w:sz="8" w:space="0" w:color="9BBB59"/>
            </w:tcBorders>
            <w:shd w:val="clear" w:color="auto" w:fill="9BBB59"/>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2013</w:t>
            </w:r>
          </w:p>
        </w:tc>
      </w:tr>
      <w:tr w:rsidR="004215A0" w:rsidRPr="002C0E33" w:rsidTr="008251CF">
        <w:trPr>
          <w:trHeight w:val="454"/>
        </w:trPr>
        <w:tc>
          <w:tcPr>
            <w:tcW w:w="2093" w:type="dxa"/>
            <w:tcBorders>
              <w:top w:val="single" w:sz="8" w:space="0" w:color="9BBB59"/>
              <w:bottom w:val="single" w:sz="8" w:space="0" w:color="9BBB59"/>
            </w:tcBorders>
            <w:noWrap/>
            <w:vAlign w:val="center"/>
          </w:tcPr>
          <w:p w:rsidR="004215A0" w:rsidRPr="002C0E33" w:rsidRDefault="004215A0" w:rsidP="002C0E33">
            <w:pPr>
              <w:spacing w:after="0" w:line="240" w:lineRule="auto"/>
              <w:jc w:val="center"/>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Počet obyvatel</w:t>
            </w:r>
          </w:p>
        </w:tc>
        <w:tc>
          <w:tcPr>
            <w:tcW w:w="1417" w:type="dxa"/>
            <w:tcBorders>
              <w:top w:val="single" w:sz="8" w:space="0" w:color="9BBB59"/>
              <w:bottom w:val="single" w:sz="8" w:space="0" w:color="9BBB59"/>
            </w:tcBorders>
            <w:noWrap/>
            <w:vAlign w:val="center"/>
          </w:tcPr>
          <w:p w:rsidR="004215A0" w:rsidRPr="002C0E33" w:rsidRDefault="004215A0" w:rsidP="002C0E33">
            <w:pPr>
              <w:spacing w:after="0" w:line="240" w:lineRule="auto"/>
              <w:jc w:val="center"/>
              <w:rPr>
                <w:rFonts w:ascii="Times New Roman" w:hAnsi="Times New Roman"/>
                <w:color w:val="000000"/>
                <w:sz w:val="24"/>
                <w:szCs w:val="24"/>
                <w:lang w:eastAsia="cs-CZ"/>
              </w:rPr>
            </w:pPr>
            <w:r w:rsidRPr="002C0E33">
              <w:rPr>
                <w:rFonts w:ascii="Times New Roman" w:hAnsi="Times New Roman"/>
                <w:color w:val="000000"/>
                <w:sz w:val="24"/>
                <w:szCs w:val="24"/>
                <w:lang w:eastAsia="cs-CZ"/>
              </w:rPr>
              <w:t>10 517 247</w:t>
            </w:r>
          </w:p>
        </w:tc>
        <w:tc>
          <w:tcPr>
            <w:tcW w:w="1418" w:type="dxa"/>
            <w:tcBorders>
              <w:top w:val="single" w:sz="8" w:space="0" w:color="9BBB59"/>
              <w:bottom w:val="single" w:sz="8" w:space="0" w:color="9BBB59"/>
            </w:tcBorders>
            <w:noWrap/>
            <w:vAlign w:val="center"/>
          </w:tcPr>
          <w:p w:rsidR="004215A0" w:rsidRPr="002C0E33" w:rsidRDefault="004215A0" w:rsidP="002C0E33">
            <w:pPr>
              <w:spacing w:after="0" w:line="240" w:lineRule="auto"/>
              <w:jc w:val="center"/>
              <w:rPr>
                <w:rFonts w:ascii="Times New Roman" w:hAnsi="Times New Roman"/>
                <w:color w:val="000000"/>
                <w:sz w:val="24"/>
                <w:szCs w:val="24"/>
                <w:lang w:eastAsia="cs-CZ"/>
              </w:rPr>
            </w:pPr>
            <w:r w:rsidRPr="002C0E33">
              <w:rPr>
                <w:rFonts w:ascii="Times New Roman" w:hAnsi="Times New Roman"/>
                <w:color w:val="000000"/>
                <w:sz w:val="24"/>
                <w:szCs w:val="24"/>
                <w:lang w:eastAsia="cs-CZ"/>
              </w:rPr>
              <w:t>10 496 672</w:t>
            </w:r>
          </w:p>
        </w:tc>
        <w:tc>
          <w:tcPr>
            <w:tcW w:w="1395" w:type="dxa"/>
            <w:tcBorders>
              <w:top w:val="single" w:sz="8" w:space="0" w:color="9BBB59"/>
              <w:bottom w:val="single" w:sz="8" w:space="0" w:color="9BBB59"/>
            </w:tcBorders>
            <w:noWrap/>
            <w:vAlign w:val="center"/>
          </w:tcPr>
          <w:p w:rsidR="004215A0" w:rsidRPr="002C0E33" w:rsidRDefault="004215A0" w:rsidP="002C0E33">
            <w:pPr>
              <w:spacing w:after="0" w:line="240" w:lineRule="auto"/>
              <w:jc w:val="center"/>
              <w:rPr>
                <w:rFonts w:ascii="Times New Roman" w:hAnsi="Times New Roman"/>
                <w:color w:val="000000"/>
                <w:sz w:val="24"/>
                <w:szCs w:val="24"/>
                <w:lang w:eastAsia="cs-CZ"/>
              </w:rPr>
            </w:pPr>
            <w:r w:rsidRPr="002C0E33">
              <w:rPr>
                <w:rFonts w:ascii="Times New Roman" w:hAnsi="Times New Roman"/>
                <w:color w:val="000000"/>
                <w:sz w:val="24"/>
                <w:szCs w:val="24"/>
                <w:lang w:eastAsia="cs-CZ"/>
              </w:rPr>
              <w:t>10 509 286</w:t>
            </w:r>
          </w:p>
        </w:tc>
        <w:tc>
          <w:tcPr>
            <w:tcW w:w="1492" w:type="dxa"/>
            <w:tcBorders>
              <w:top w:val="single" w:sz="8" w:space="0" w:color="9BBB59"/>
              <w:bottom w:val="single" w:sz="8" w:space="0" w:color="9BBB59"/>
            </w:tcBorders>
            <w:noWrap/>
            <w:vAlign w:val="center"/>
          </w:tcPr>
          <w:p w:rsidR="004215A0" w:rsidRPr="00E935A3" w:rsidRDefault="004215A0" w:rsidP="002C0E33">
            <w:pPr>
              <w:spacing w:after="0" w:line="240" w:lineRule="auto"/>
              <w:jc w:val="center"/>
              <w:rPr>
                <w:rFonts w:ascii="Times New Roman" w:hAnsi="Times New Roman"/>
                <w:color w:val="000000"/>
                <w:sz w:val="24"/>
                <w:szCs w:val="24"/>
                <w:lang w:eastAsia="cs-CZ"/>
              </w:rPr>
            </w:pPr>
            <w:r w:rsidRPr="00E935A3">
              <w:rPr>
                <w:rFonts w:ascii="Times New Roman" w:hAnsi="Times New Roman"/>
                <w:bCs/>
                <w:sz w:val="24"/>
                <w:szCs w:val="24"/>
              </w:rPr>
              <w:t>10 513 834</w:t>
            </w:r>
          </w:p>
        </w:tc>
      </w:tr>
    </w:tbl>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color w:val="000000"/>
          <w:sz w:val="18"/>
          <w:szCs w:val="18"/>
          <w:shd w:val="clear" w:color="auto" w:fill="FFFFFF"/>
        </w:rPr>
      </w:pPr>
      <w:r>
        <w:rPr>
          <w:color w:val="000000"/>
          <w:sz w:val="18"/>
          <w:szCs w:val="18"/>
          <w:shd w:val="clear" w:color="auto" w:fill="FFFFFF"/>
        </w:rPr>
        <w:t xml:space="preserve">Zdroj: </w:t>
      </w:r>
      <w:r w:rsidRPr="00BA5435">
        <w:rPr>
          <w:i/>
          <w:sz w:val="18"/>
          <w:szCs w:val="18"/>
        </w:rPr>
        <w:t>Český statistický úřad:</w:t>
      </w:r>
      <w:r>
        <w:rPr>
          <w:i/>
          <w:sz w:val="18"/>
          <w:szCs w:val="18"/>
        </w:rPr>
        <w:t>Obyvatelstvo – roční časové řady</w:t>
      </w:r>
      <w:r>
        <w:rPr>
          <w:color w:val="000000"/>
          <w:sz w:val="18"/>
          <w:szCs w:val="18"/>
          <w:shd w:val="clear" w:color="auto" w:fill="FFFFFF"/>
        </w:rPr>
        <w:t xml:space="preserve"> [online]. ČSÚ. [cit. 4</w:t>
      </w:r>
      <w:r w:rsidRPr="00BA5435">
        <w:rPr>
          <w:color w:val="000000"/>
          <w:sz w:val="18"/>
          <w:szCs w:val="18"/>
          <w:shd w:val="clear" w:color="auto" w:fill="FFFFFF"/>
        </w:rPr>
        <w:t xml:space="preserve">.2.2014]. Dostupné z: </w:t>
      </w:r>
      <w:r w:rsidRPr="00F06285">
        <w:rPr>
          <w:color w:val="000000"/>
          <w:sz w:val="18"/>
          <w:szCs w:val="18"/>
          <w:shd w:val="clear" w:color="auto" w:fill="FFFFFF"/>
        </w:rPr>
        <w:t>http://www.czso.cz/csu/redakce.nsf/i/obyvatelstvo_hu</w:t>
      </w:r>
    </w:p>
    <w:p w:rsidR="004215A0" w:rsidRDefault="004215A0" w:rsidP="00836362">
      <w:pPr>
        <w:spacing w:after="0" w:line="240" w:lineRule="auto"/>
        <w:rPr>
          <w:sz w:val="20"/>
          <w:szCs w:val="20"/>
        </w:rPr>
      </w:pPr>
    </w:p>
    <w:p w:rsidR="004215A0" w:rsidRDefault="004215A0" w:rsidP="00E12B0E">
      <w:pPr>
        <w:spacing w:before="120" w:after="120" w:line="360" w:lineRule="auto"/>
        <w:jc w:val="both"/>
        <w:rPr>
          <w:sz w:val="24"/>
          <w:szCs w:val="24"/>
        </w:rPr>
      </w:pPr>
      <w:r>
        <w:rPr>
          <w:sz w:val="24"/>
          <w:szCs w:val="24"/>
        </w:rPr>
        <w:t xml:space="preserve">Tabulka č. 3 uvádí jednotlivé a celkové příjmové a výdajové položky závěrečného účtu obce Krásné Údolí vždy ke konci daného roku. Z výsledků je patrné, že celkové daňové příjmy převyšují ve všech sledovaných letech daňové výdaje a rok od doku se, jak daňové příjmy, tak daňové výdaje zvyšují. Ke skokovému nárůstu daňových příjmů došlo v roce </w:t>
      </w:r>
      <w:smartTag w:uri="urn:schemas-microsoft-com:office:smarttags" w:element="metricconverter">
        <w:smartTagPr>
          <w:attr w:name="ProductID" w:val="2013, a"/>
        </w:smartTagPr>
        <w:r>
          <w:rPr>
            <w:sz w:val="24"/>
            <w:szCs w:val="24"/>
          </w:rPr>
          <w:t>2013, a</w:t>
        </w:r>
      </w:smartTag>
      <w:r>
        <w:rPr>
          <w:sz w:val="24"/>
          <w:szCs w:val="24"/>
        </w:rPr>
        <w:t xml:space="preserve"> to zejména díky více než trojnásobnému nárůstu příjmů z dotací a také díky patrnému navýšení vlastních příjmů. Navýšení celkových výdajů bylo v roce 2013 způsobeno dvojnásobným navýšením neinvestičních výdajů. </w:t>
      </w:r>
    </w:p>
    <w:p w:rsidR="004215A0" w:rsidRDefault="004215A0" w:rsidP="00E12B0E">
      <w:pPr>
        <w:spacing w:before="120" w:after="120" w:line="360" w:lineRule="auto"/>
        <w:jc w:val="both"/>
        <w:rPr>
          <w:sz w:val="24"/>
          <w:szCs w:val="24"/>
        </w:rPr>
      </w:pPr>
    </w:p>
    <w:p w:rsidR="004215A0" w:rsidRDefault="004215A0" w:rsidP="00E12B0E">
      <w:pPr>
        <w:spacing w:before="120" w:after="120" w:line="360" w:lineRule="auto"/>
        <w:jc w:val="both"/>
        <w:rPr>
          <w:sz w:val="24"/>
          <w:szCs w:val="24"/>
        </w:rPr>
      </w:pPr>
    </w:p>
    <w:p w:rsidR="004215A0" w:rsidRDefault="004215A0" w:rsidP="00E12B0E">
      <w:pPr>
        <w:spacing w:before="120" w:after="120" w:line="360" w:lineRule="auto"/>
        <w:jc w:val="both"/>
        <w:rPr>
          <w:sz w:val="24"/>
          <w:szCs w:val="24"/>
        </w:rPr>
      </w:pPr>
    </w:p>
    <w:p w:rsidR="004215A0" w:rsidRDefault="004215A0" w:rsidP="00E12B0E">
      <w:pPr>
        <w:spacing w:before="120" w:after="120" w:line="360" w:lineRule="auto"/>
        <w:jc w:val="both"/>
        <w:rPr>
          <w:sz w:val="24"/>
          <w:szCs w:val="24"/>
        </w:rPr>
      </w:pPr>
    </w:p>
    <w:p w:rsidR="004215A0" w:rsidRDefault="004215A0" w:rsidP="00E12B0E">
      <w:pPr>
        <w:spacing w:before="120" w:after="120" w:line="360" w:lineRule="auto"/>
        <w:jc w:val="both"/>
        <w:rPr>
          <w:sz w:val="24"/>
          <w:szCs w:val="24"/>
        </w:rPr>
      </w:pPr>
    </w:p>
    <w:p w:rsidR="004215A0" w:rsidRPr="004F53A7" w:rsidRDefault="004215A0" w:rsidP="004F53A7">
      <w:pPr>
        <w:pStyle w:val="Nadpis2"/>
        <w:rPr>
          <w:rFonts w:ascii="Calibri" w:hAnsi="Calibri"/>
          <w:b w:val="0"/>
          <w:color w:val="auto"/>
          <w:sz w:val="24"/>
          <w:szCs w:val="24"/>
          <w:shd w:val="clear" w:color="auto" w:fill="FFFFFF"/>
        </w:rPr>
      </w:pPr>
      <w:bookmarkStart w:id="5" w:name="_Toc379566721"/>
      <w:r w:rsidRPr="004F53A7">
        <w:rPr>
          <w:rFonts w:ascii="Calibri" w:hAnsi="Calibri"/>
          <w:color w:val="auto"/>
          <w:sz w:val="24"/>
          <w:szCs w:val="24"/>
          <w:shd w:val="clear" w:color="auto" w:fill="FFFFFF"/>
        </w:rPr>
        <w:t>Tabulka č. 3:</w:t>
      </w:r>
      <w:r w:rsidRPr="004F53A7">
        <w:rPr>
          <w:rFonts w:ascii="Calibri" w:hAnsi="Calibri"/>
          <w:b w:val="0"/>
          <w:color w:val="auto"/>
          <w:sz w:val="24"/>
          <w:szCs w:val="24"/>
          <w:shd w:val="clear" w:color="auto" w:fill="FFFFFF"/>
        </w:rPr>
        <w:t xml:space="preserve"> Finance obce Krásné Údolí k 31.12. daného roku (v tis. Kč)</w:t>
      </w:r>
      <w:bookmarkEnd w:id="5"/>
    </w:p>
    <w:p w:rsidR="004215A0" w:rsidRDefault="004215A0" w:rsidP="00836362">
      <w:pPr>
        <w:spacing w:after="0" w:line="240" w:lineRule="auto"/>
        <w:rPr>
          <w:color w:val="000000"/>
          <w:sz w:val="18"/>
          <w:szCs w:val="18"/>
          <w:shd w:val="clear" w:color="auto" w:fill="FFFFFF"/>
        </w:rPr>
      </w:pPr>
    </w:p>
    <w:tbl>
      <w:tblPr>
        <w:tblpPr w:leftFromText="141" w:rightFromText="141" w:vertAnchor="text" w:horzAnchor="margin" w:tblpY="1"/>
        <w:tblW w:w="9747"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2660"/>
        <w:gridCol w:w="1771"/>
        <w:gridCol w:w="1772"/>
        <w:gridCol w:w="1772"/>
        <w:gridCol w:w="1772"/>
      </w:tblGrid>
      <w:tr w:rsidR="004215A0" w:rsidRPr="002C0E33" w:rsidTr="002C0E33">
        <w:trPr>
          <w:trHeight w:val="454"/>
        </w:trPr>
        <w:tc>
          <w:tcPr>
            <w:tcW w:w="2660" w:type="dxa"/>
            <w:tcBorders>
              <w:top w:val="single" w:sz="8" w:space="0" w:color="9BBB59"/>
            </w:tcBorders>
            <w:shd w:val="clear" w:color="auto" w:fill="9BBB59"/>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Položky</w:t>
            </w:r>
          </w:p>
        </w:tc>
        <w:tc>
          <w:tcPr>
            <w:tcW w:w="1771"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772"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772"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c>
          <w:tcPr>
            <w:tcW w:w="1772"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2013</w:t>
            </w:r>
          </w:p>
        </w:tc>
      </w:tr>
      <w:tr w:rsidR="004215A0" w:rsidRPr="002C0E33" w:rsidTr="002C0E33">
        <w:trPr>
          <w:trHeight w:val="454"/>
        </w:trPr>
        <w:tc>
          <w:tcPr>
            <w:tcW w:w="266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 xml:space="preserve">Celkové příjmy </w:t>
            </w:r>
          </w:p>
        </w:tc>
        <w:tc>
          <w:tcPr>
            <w:tcW w:w="177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4 111 487,25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4 540 456,46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5 017 109,19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12 014 669,60   </w:t>
            </w:r>
          </w:p>
        </w:tc>
      </w:tr>
      <w:tr w:rsidR="004215A0" w:rsidRPr="002C0E33" w:rsidTr="002C0E33">
        <w:trPr>
          <w:trHeight w:val="454"/>
        </w:trPr>
        <w:tc>
          <w:tcPr>
            <w:tcW w:w="2660"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 xml:space="preserve">Daňové příjmy </w:t>
            </w:r>
          </w:p>
        </w:tc>
        <w:tc>
          <w:tcPr>
            <w:tcW w:w="1771"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3 274 319,51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3 246 282,81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3 415 566,63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4 225 167,50   </w:t>
            </w:r>
          </w:p>
        </w:tc>
      </w:tr>
      <w:tr w:rsidR="004215A0" w:rsidRPr="002C0E33" w:rsidTr="002C0E33">
        <w:trPr>
          <w:trHeight w:val="454"/>
        </w:trPr>
        <w:tc>
          <w:tcPr>
            <w:tcW w:w="266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Nedaňové příjmy</w:t>
            </w:r>
          </w:p>
        </w:tc>
        <w:tc>
          <w:tcPr>
            <w:tcW w:w="177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498,85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554 369,65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791 950,56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4 680 475,30   </w:t>
            </w:r>
          </w:p>
        </w:tc>
      </w:tr>
      <w:tr w:rsidR="004215A0" w:rsidRPr="002C0E33" w:rsidTr="002C0E33">
        <w:trPr>
          <w:trHeight w:val="454"/>
        </w:trPr>
        <w:tc>
          <w:tcPr>
            <w:tcW w:w="2660"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 xml:space="preserve">Daň z nemovitostní </w:t>
            </w:r>
          </w:p>
        </w:tc>
        <w:tc>
          <w:tcPr>
            <w:tcW w:w="1771"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247 218,99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315 374,01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328 299,32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319 757,73   </w:t>
            </w:r>
          </w:p>
        </w:tc>
      </w:tr>
      <w:tr w:rsidR="004215A0" w:rsidRPr="002C0E33" w:rsidTr="002C0E33">
        <w:trPr>
          <w:trHeight w:val="454"/>
        </w:trPr>
        <w:tc>
          <w:tcPr>
            <w:tcW w:w="266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Místní daně a poplatky</w:t>
            </w:r>
          </w:p>
        </w:tc>
        <w:tc>
          <w:tcPr>
            <w:tcW w:w="177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263 750,00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263 273,78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282 583,32   </w:t>
            </w:r>
          </w:p>
        </w:tc>
      </w:tr>
      <w:tr w:rsidR="004215A0" w:rsidRPr="002C0E33" w:rsidTr="002C0E33">
        <w:trPr>
          <w:trHeight w:val="454"/>
        </w:trPr>
        <w:tc>
          <w:tcPr>
            <w:tcW w:w="2660"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 xml:space="preserve">Kapitálové příjmy </w:t>
            </w:r>
          </w:p>
        </w:tc>
        <w:tc>
          <w:tcPr>
            <w:tcW w:w="1771"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496 668,89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122 880,00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69 090,00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7 064,00   </w:t>
            </w:r>
          </w:p>
        </w:tc>
      </w:tr>
      <w:tr w:rsidR="004215A0" w:rsidRPr="002C0E33" w:rsidTr="002C0E33">
        <w:trPr>
          <w:trHeight w:val="454"/>
        </w:trPr>
        <w:tc>
          <w:tcPr>
            <w:tcW w:w="266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Vlastní příjmy</w:t>
            </w:r>
          </w:p>
        </w:tc>
        <w:tc>
          <w:tcPr>
            <w:tcW w:w="177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3 771 487,25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3 923 532,46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4 276 607,19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8 912 706,80   </w:t>
            </w:r>
          </w:p>
        </w:tc>
      </w:tr>
      <w:tr w:rsidR="004215A0" w:rsidRPr="002C0E33" w:rsidTr="002C0E33">
        <w:trPr>
          <w:trHeight w:val="454"/>
        </w:trPr>
        <w:tc>
          <w:tcPr>
            <w:tcW w:w="2660"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Běžné dotace (neinvestiční dotace)</w:t>
            </w:r>
          </w:p>
        </w:tc>
        <w:tc>
          <w:tcPr>
            <w:tcW w:w="1771"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340 000,00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329 719,00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380 502,00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1 014 689,84   </w:t>
            </w:r>
          </w:p>
        </w:tc>
      </w:tr>
      <w:tr w:rsidR="004215A0" w:rsidRPr="002C0E33" w:rsidTr="002C0E33">
        <w:trPr>
          <w:trHeight w:val="454"/>
        </w:trPr>
        <w:tc>
          <w:tcPr>
            <w:tcW w:w="266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Kapitálové dotace (investiční dotace)</w:t>
            </w:r>
          </w:p>
        </w:tc>
        <w:tc>
          <w:tcPr>
            <w:tcW w:w="177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0,00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287 205,00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360 000,00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2 087 272,96   </w:t>
            </w:r>
          </w:p>
        </w:tc>
      </w:tr>
      <w:tr w:rsidR="004215A0" w:rsidRPr="002C0E33" w:rsidTr="002C0E33">
        <w:trPr>
          <w:trHeight w:val="454"/>
        </w:trPr>
        <w:tc>
          <w:tcPr>
            <w:tcW w:w="2660"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Dotace celkem</w:t>
            </w:r>
          </w:p>
        </w:tc>
        <w:tc>
          <w:tcPr>
            <w:tcW w:w="1771" w:type="dxa"/>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340 000,00   </w:t>
            </w:r>
          </w:p>
        </w:tc>
        <w:tc>
          <w:tcPr>
            <w:tcW w:w="1772" w:type="dxa"/>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616 924,00   </w:t>
            </w:r>
          </w:p>
        </w:tc>
        <w:tc>
          <w:tcPr>
            <w:tcW w:w="1772" w:type="dxa"/>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740 502,00   </w:t>
            </w:r>
          </w:p>
        </w:tc>
        <w:tc>
          <w:tcPr>
            <w:tcW w:w="1772" w:type="dxa"/>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3 101 962,80   </w:t>
            </w:r>
          </w:p>
        </w:tc>
      </w:tr>
      <w:tr w:rsidR="004215A0" w:rsidRPr="002C0E33" w:rsidTr="002C0E33">
        <w:trPr>
          <w:trHeight w:val="454"/>
        </w:trPr>
        <w:tc>
          <w:tcPr>
            <w:tcW w:w="266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 xml:space="preserve">Celkové výdaje </w:t>
            </w:r>
          </w:p>
        </w:tc>
        <w:tc>
          <w:tcPr>
            <w:tcW w:w="177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3 804 794,55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4 564 351,23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6 660 974,39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 xml:space="preserve">11 616 292,95   </w:t>
            </w:r>
          </w:p>
        </w:tc>
      </w:tr>
      <w:tr w:rsidR="004215A0" w:rsidRPr="002C0E33" w:rsidTr="002C0E33">
        <w:trPr>
          <w:trHeight w:val="454"/>
        </w:trPr>
        <w:tc>
          <w:tcPr>
            <w:tcW w:w="2660"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Běžné výdaje (neinvestiční výdaje)</w:t>
            </w:r>
          </w:p>
        </w:tc>
        <w:tc>
          <w:tcPr>
            <w:tcW w:w="1771"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3 774 794,55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3 818 804,23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4 277 599,39   </w:t>
            </w:r>
          </w:p>
        </w:tc>
        <w:tc>
          <w:tcPr>
            <w:tcW w:w="177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9 366 386,45   </w:t>
            </w:r>
          </w:p>
        </w:tc>
      </w:tr>
      <w:tr w:rsidR="004215A0" w:rsidRPr="002C0E33" w:rsidTr="002C0E33">
        <w:trPr>
          <w:trHeight w:val="454"/>
        </w:trPr>
        <w:tc>
          <w:tcPr>
            <w:tcW w:w="266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Kapitálové výdaje (investiční výdaje)</w:t>
            </w:r>
          </w:p>
        </w:tc>
        <w:tc>
          <w:tcPr>
            <w:tcW w:w="177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30 000,00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745 547,00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2 383 375,00   </w:t>
            </w:r>
          </w:p>
        </w:tc>
        <w:tc>
          <w:tcPr>
            <w:tcW w:w="177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 xml:space="preserve">2 249 906,50   </w:t>
            </w:r>
          </w:p>
        </w:tc>
      </w:tr>
    </w:tbl>
    <w:p w:rsidR="004215A0" w:rsidRPr="00C85E57" w:rsidRDefault="004215A0" w:rsidP="00497079">
      <w:pPr>
        <w:spacing w:after="0" w:line="240" w:lineRule="auto"/>
        <w:rPr>
          <w:color w:val="000000"/>
          <w:sz w:val="18"/>
          <w:szCs w:val="18"/>
          <w:shd w:val="clear" w:color="auto" w:fill="FFFFFF"/>
        </w:rPr>
      </w:pPr>
      <w:r>
        <w:rPr>
          <w:color w:val="000000"/>
          <w:sz w:val="18"/>
          <w:szCs w:val="18"/>
          <w:shd w:val="clear" w:color="auto" w:fill="FFFFFF"/>
        </w:rPr>
        <w:t xml:space="preserve">Zdroj: </w:t>
      </w:r>
      <w:r w:rsidRPr="00C85E57">
        <w:rPr>
          <w:sz w:val="18"/>
          <w:szCs w:val="18"/>
        </w:rPr>
        <w:t xml:space="preserve">FRANK, Martin. </w:t>
      </w:r>
      <w:r w:rsidRPr="002E4A29">
        <w:rPr>
          <w:i/>
          <w:sz w:val="18"/>
          <w:szCs w:val="18"/>
        </w:rPr>
        <w:t>Závěrečný účet města Krásné Údolí za rok 2012</w:t>
      </w:r>
      <w:r w:rsidRPr="00C85E57">
        <w:rPr>
          <w:sz w:val="18"/>
          <w:szCs w:val="18"/>
        </w:rPr>
        <w:t xml:space="preserve"> [online]. Město Krásné Údolí: 2013, s. 3 [cit. 2014-02-04]. Dostupné z: http://deska.obeckrasneudoli.cz/2012zav.ucet.pdf</w:t>
      </w:r>
    </w:p>
    <w:p w:rsidR="004215A0" w:rsidRDefault="004215A0" w:rsidP="00497079">
      <w:pPr>
        <w:spacing w:after="0" w:line="240" w:lineRule="auto"/>
        <w:rPr>
          <w:sz w:val="18"/>
          <w:szCs w:val="18"/>
        </w:rPr>
      </w:pPr>
      <w:r w:rsidRPr="00C85E57">
        <w:rPr>
          <w:sz w:val="18"/>
          <w:szCs w:val="18"/>
        </w:rPr>
        <w:t xml:space="preserve">FRANK, Martin. </w:t>
      </w:r>
      <w:r w:rsidRPr="002E4A29">
        <w:rPr>
          <w:i/>
          <w:sz w:val="18"/>
          <w:szCs w:val="18"/>
        </w:rPr>
        <w:t>Závěrečný účet města Krásné Údolí za rok 2011</w:t>
      </w:r>
      <w:r w:rsidRPr="00C85E57">
        <w:rPr>
          <w:sz w:val="18"/>
          <w:szCs w:val="18"/>
        </w:rPr>
        <w:t xml:space="preserve"> [o</w:t>
      </w:r>
      <w:r>
        <w:rPr>
          <w:sz w:val="18"/>
          <w:szCs w:val="18"/>
        </w:rPr>
        <w:t>nline]. Město Krásné Údolí: 2012</w:t>
      </w:r>
      <w:r w:rsidRPr="00C85E57">
        <w:rPr>
          <w:sz w:val="18"/>
          <w:szCs w:val="18"/>
        </w:rPr>
        <w:t xml:space="preserve">, s. 3 [cit. 2014-02-04]. Dostupné z: </w:t>
      </w:r>
      <w:r w:rsidRPr="00425829">
        <w:rPr>
          <w:sz w:val="18"/>
          <w:szCs w:val="18"/>
        </w:rPr>
        <w:t>http://deska.obeckrasneudoli.cz/2011zav.ucet.pdf</w:t>
      </w:r>
    </w:p>
    <w:p w:rsidR="004215A0" w:rsidRDefault="004215A0" w:rsidP="00497079">
      <w:pPr>
        <w:spacing w:after="0" w:line="240" w:lineRule="auto"/>
        <w:rPr>
          <w:sz w:val="18"/>
          <w:szCs w:val="18"/>
        </w:rPr>
      </w:pPr>
      <w:r w:rsidRPr="00C85E57">
        <w:rPr>
          <w:sz w:val="18"/>
          <w:szCs w:val="18"/>
        </w:rPr>
        <w:t xml:space="preserve">FRANK, Martin. </w:t>
      </w:r>
      <w:r w:rsidRPr="002E4A29">
        <w:rPr>
          <w:i/>
          <w:sz w:val="18"/>
          <w:szCs w:val="18"/>
        </w:rPr>
        <w:t>Závěrečný účet města Krásné Údolí za rok 2010</w:t>
      </w:r>
      <w:r w:rsidRPr="00C85E57">
        <w:rPr>
          <w:sz w:val="18"/>
          <w:szCs w:val="18"/>
        </w:rPr>
        <w:t xml:space="preserve"> [o</w:t>
      </w:r>
      <w:r>
        <w:rPr>
          <w:sz w:val="18"/>
          <w:szCs w:val="18"/>
        </w:rPr>
        <w:t>nline]. Město Krásné Údolí: 2011</w:t>
      </w:r>
      <w:r w:rsidRPr="00C85E57">
        <w:rPr>
          <w:sz w:val="18"/>
          <w:szCs w:val="18"/>
        </w:rPr>
        <w:t xml:space="preserve">, s. 3 [cit. 2014-02-04]. Dostupné z: </w:t>
      </w:r>
      <w:r w:rsidRPr="00425829">
        <w:rPr>
          <w:sz w:val="18"/>
          <w:szCs w:val="18"/>
        </w:rPr>
        <w:t>http://deska.obeckrasneudoli.cz/2010zav.ucet.pdf</w:t>
      </w: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Default="004215A0" w:rsidP="00836362">
      <w:pPr>
        <w:spacing w:after="0" w:line="240" w:lineRule="auto"/>
        <w:rPr>
          <w:color w:val="000000"/>
          <w:sz w:val="18"/>
          <w:szCs w:val="18"/>
          <w:shd w:val="clear" w:color="auto" w:fill="FFFFFF"/>
        </w:rPr>
      </w:pPr>
    </w:p>
    <w:p w:rsidR="004215A0" w:rsidRPr="004F53A7" w:rsidRDefault="004215A0" w:rsidP="004F53A7">
      <w:pPr>
        <w:pStyle w:val="Nadpis2"/>
        <w:rPr>
          <w:rFonts w:ascii="Calibri" w:hAnsi="Calibri"/>
          <w:b w:val="0"/>
          <w:color w:val="auto"/>
          <w:sz w:val="24"/>
          <w:szCs w:val="24"/>
          <w:shd w:val="clear" w:color="auto" w:fill="FFFFFF"/>
        </w:rPr>
      </w:pPr>
      <w:bookmarkStart w:id="6" w:name="_Toc379566722"/>
      <w:r w:rsidRPr="004F53A7">
        <w:rPr>
          <w:rFonts w:ascii="Calibri" w:hAnsi="Calibri"/>
          <w:color w:val="auto"/>
          <w:sz w:val="24"/>
          <w:szCs w:val="24"/>
          <w:shd w:val="clear" w:color="auto" w:fill="FFFFFF"/>
        </w:rPr>
        <w:t>Tabulka č. 4:</w:t>
      </w:r>
      <w:r w:rsidRPr="004F53A7">
        <w:rPr>
          <w:rFonts w:ascii="Calibri" w:hAnsi="Calibri"/>
          <w:b w:val="0"/>
          <w:color w:val="auto"/>
          <w:sz w:val="24"/>
          <w:szCs w:val="24"/>
          <w:shd w:val="clear" w:color="auto" w:fill="FFFFFF"/>
        </w:rPr>
        <w:t xml:space="preserve"> Finance obcí ČR za daný rok (v tis. Kč)</w:t>
      </w:r>
      <w:bookmarkEnd w:id="6"/>
      <w:r w:rsidRPr="004F53A7">
        <w:rPr>
          <w:rFonts w:ascii="Calibri" w:hAnsi="Calibri"/>
          <w:b w:val="0"/>
          <w:color w:val="auto"/>
          <w:sz w:val="24"/>
          <w:szCs w:val="24"/>
          <w:shd w:val="clear" w:color="auto" w:fill="FFFFFF"/>
        </w:rPr>
        <w:t xml:space="preserve"> </w:t>
      </w:r>
    </w:p>
    <w:p w:rsidR="004215A0" w:rsidRDefault="004215A0" w:rsidP="00836362">
      <w:pPr>
        <w:spacing w:after="0" w:line="240" w:lineRule="auto"/>
        <w:rPr>
          <w:color w:val="000000"/>
          <w:sz w:val="24"/>
          <w:szCs w:val="24"/>
          <w:shd w:val="clear" w:color="auto" w:fill="FFFFFF"/>
        </w:rPr>
      </w:pPr>
    </w:p>
    <w:tbl>
      <w:tblPr>
        <w:tblW w:w="9747"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77"/>
        <w:gridCol w:w="1890"/>
        <w:gridCol w:w="1890"/>
        <w:gridCol w:w="1890"/>
      </w:tblGrid>
      <w:tr w:rsidR="004215A0" w:rsidRPr="002C0E33" w:rsidTr="002C0E33">
        <w:trPr>
          <w:trHeight w:val="454"/>
        </w:trPr>
        <w:tc>
          <w:tcPr>
            <w:tcW w:w="4077"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
                <w:bCs/>
                <w:sz w:val="24"/>
                <w:szCs w:val="24"/>
                <w:lang w:eastAsia="cs-CZ"/>
              </w:rPr>
              <w:t>Položky</w:t>
            </w:r>
          </w:p>
        </w:tc>
        <w:tc>
          <w:tcPr>
            <w:tcW w:w="1890"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
                <w:bCs/>
                <w:sz w:val="24"/>
                <w:szCs w:val="24"/>
                <w:lang w:eastAsia="cs-CZ"/>
              </w:rPr>
              <w:t>2010</w:t>
            </w:r>
          </w:p>
        </w:tc>
        <w:tc>
          <w:tcPr>
            <w:tcW w:w="1890"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
                <w:bCs/>
                <w:sz w:val="24"/>
                <w:szCs w:val="24"/>
                <w:lang w:eastAsia="cs-CZ"/>
              </w:rPr>
              <w:t>2 011</w:t>
            </w:r>
          </w:p>
        </w:tc>
        <w:tc>
          <w:tcPr>
            <w:tcW w:w="1890"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
                <w:bCs/>
                <w:sz w:val="24"/>
                <w:szCs w:val="24"/>
                <w:lang w:eastAsia="cs-CZ"/>
              </w:rPr>
              <w:t>2 012</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Celkové příjmy</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283 620 147</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268 607 159</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241 071 271</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Danové příjmy</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142 885 549</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141 901 390</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145 534 555</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Nedaňové příjmy</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27 181 951</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28 648 691</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28 790 368</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Daň z</w:t>
            </w:r>
            <w:r>
              <w:rPr>
                <w:rFonts w:ascii="Times New Roman" w:hAnsi="Times New Roman"/>
                <w:bCs/>
                <w:sz w:val="24"/>
                <w:szCs w:val="24"/>
                <w:lang w:eastAsia="cs-CZ"/>
              </w:rPr>
              <w:t> </w:t>
            </w:r>
            <w:r w:rsidRPr="002C0E33">
              <w:rPr>
                <w:rFonts w:ascii="Times New Roman" w:hAnsi="Times New Roman"/>
                <w:bCs/>
                <w:sz w:val="24"/>
                <w:szCs w:val="24"/>
                <w:lang w:eastAsia="cs-CZ"/>
              </w:rPr>
              <w:t>nemovitostí</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8 663 631</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8 609 130</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9 602 114</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Místní daně a poplatky</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2 351 091</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2 842 215</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4 806 997</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Kapitálové příjmy</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12 769 005</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8 508 241</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8 742 713</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Vlastní příjmy</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182 836 505</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179 058 322</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183 067 636</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Běžné dotace (neinvestiční dotace)</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71 438 101</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64 330 264</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37 853 996</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Kapitálové dotace (investiční dotace)</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29 345 546</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25 218 576</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20 149 642</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Dotace celkem</w:t>
            </w:r>
          </w:p>
        </w:tc>
        <w:tc>
          <w:tcPr>
            <w:tcW w:w="1890" w:type="dxa"/>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100 783 647</w:t>
            </w:r>
          </w:p>
        </w:tc>
        <w:tc>
          <w:tcPr>
            <w:tcW w:w="1890" w:type="dxa"/>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89 548 840</w:t>
            </w:r>
          </w:p>
        </w:tc>
        <w:tc>
          <w:tcPr>
            <w:tcW w:w="1890" w:type="dxa"/>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58 003 638</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Celkové výdaje</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287 016 997</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269 795 000</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Cs/>
                <w:sz w:val="24"/>
                <w:szCs w:val="24"/>
                <w:lang w:eastAsia="cs-CZ"/>
              </w:rPr>
            </w:pPr>
            <w:r w:rsidRPr="002C0E33">
              <w:rPr>
                <w:rFonts w:ascii="Times New Roman" w:hAnsi="Times New Roman"/>
                <w:bCs/>
                <w:sz w:val="24"/>
                <w:szCs w:val="24"/>
                <w:lang w:eastAsia="cs-CZ"/>
              </w:rPr>
              <w:t>235 075 168</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Běžné výdaje (neinvestiční výdaje)</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199 301 406</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194 009 174</w:t>
            </w:r>
          </w:p>
        </w:tc>
        <w:tc>
          <w:tcPr>
            <w:tcW w:w="1890" w:type="dxa"/>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167 661 415</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Kapitálové výdaje (investiční výdaje)</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87 715 591</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75 785 826</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sz w:val="24"/>
                <w:szCs w:val="24"/>
                <w:lang w:eastAsia="cs-CZ"/>
              </w:rPr>
            </w:pPr>
            <w:r w:rsidRPr="002C0E33">
              <w:rPr>
                <w:rFonts w:ascii="Times New Roman" w:hAnsi="Times New Roman"/>
                <w:sz w:val="24"/>
                <w:szCs w:val="24"/>
                <w:lang w:eastAsia="cs-CZ"/>
              </w:rPr>
              <w:t>67 413 753</w:t>
            </w:r>
          </w:p>
        </w:tc>
      </w:tr>
    </w:tbl>
    <w:p w:rsidR="004215A0" w:rsidRPr="005267E5" w:rsidRDefault="004215A0" w:rsidP="00836362">
      <w:pPr>
        <w:spacing w:after="0" w:line="240" w:lineRule="auto"/>
        <w:rPr>
          <w:color w:val="000000"/>
          <w:sz w:val="18"/>
          <w:szCs w:val="18"/>
          <w:shd w:val="clear" w:color="auto" w:fill="FFFFFF"/>
        </w:rPr>
      </w:pPr>
      <w:r>
        <w:rPr>
          <w:color w:val="000000"/>
          <w:sz w:val="18"/>
          <w:szCs w:val="18"/>
          <w:shd w:val="clear" w:color="auto" w:fill="FFFFFF"/>
        </w:rPr>
        <w:t xml:space="preserve">Zdroj: </w:t>
      </w:r>
      <w:bookmarkStart w:id="7" w:name="OLE_LINK1"/>
      <w:bookmarkStart w:id="8" w:name="OLE_LINK2"/>
      <w:r w:rsidRPr="00BA5435">
        <w:rPr>
          <w:i/>
          <w:sz w:val="18"/>
          <w:szCs w:val="18"/>
        </w:rPr>
        <w:t>Český statistický úřad:</w:t>
      </w:r>
      <w:r w:rsidRPr="00B762F9">
        <w:rPr>
          <w:i/>
          <w:sz w:val="18"/>
          <w:szCs w:val="18"/>
        </w:rPr>
        <w:t xml:space="preserve"> Příjmy</w:t>
      </w:r>
      <w:r>
        <w:rPr>
          <w:i/>
          <w:sz w:val="18"/>
          <w:szCs w:val="18"/>
        </w:rPr>
        <w:t xml:space="preserve"> a výdaje </w:t>
      </w:r>
      <w:r w:rsidRPr="00B762F9">
        <w:rPr>
          <w:i/>
          <w:sz w:val="18"/>
          <w:szCs w:val="18"/>
        </w:rPr>
        <w:t>obcí</w:t>
      </w:r>
      <w:r>
        <w:rPr>
          <w:i/>
          <w:sz w:val="18"/>
          <w:szCs w:val="18"/>
        </w:rPr>
        <w:t xml:space="preserve"> </w:t>
      </w:r>
      <w:r>
        <w:rPr>
          <w:color w:val="000000"/>
          <w:sz w:val="18"/>
          <w:szCs w:val="18"/>
          <w:shd w:val="clear" w:color="auto" w:fill="FFFFFF"/>
        </w:rPr>
        <w:t xml:space="preserve">[online]. ČSÚ. [cit. 4.2.2014]. Dostupné z: </w:t>
      </w:r>
      <w:r w:rsidRPr="002E4A29">
        <w:rPr>
          <w:color w:val="000000"/>
          <w:sz w:val="18"/>
          <w:szCs w:val="18"/>
          <w:shd w:val="clear" w:color="auto" w:fill="FFFFFF"/>
        </w:rPr>
        <w:t>http://vdb.czso.cz/vdbvo/tabparam.jsp?childsel0=3&amp;cislotab=FIN4010UC_KR&amp;kapitola_id=24&amp;voa=tabulka&amp;go_zobraz=1&amp;childsel0=3&amp;pro_4_45=CZ&amp;aktualizuj=Aktualizovat</w:t>
      </w:r>
      <w:r>
        <w:rPr>
          <w:color w:val="000000"/>
          <w:sz w:val="18"/>
          <w:szCs w:val="18"/>
          <w:shd w:val="clear" w:color="auto" w:fill="FFFFFF"/>
        </w:rPr>
        <w:t xml:space="preserve">; </w:t>
      </w:r>
      <w:r w:rsidRPr="005267E5">
        <w:rPr>
          <w:color w:val="000000"/>
          <w:sz w:val="18"/>
          <w:szCs w:val="18"/>
          <w:shd w:val="clear" w:color="auto" w:fill="FFFFFF"/>
        </w:rPr>
        <w:t>http://vdb.czso.cz/vdbvo/tabparam.jsp?cislotab=FIN4020UC_KR&amp;kapitola_id=24&amp;voa=tabulka&amp;go_zobraz=1&amp;childsel0=3&amp;pro_4_45=CZ</w:t>
      </w:r>
    </w:p>
    <w:bookmarkEnd w:id="7"/>
    <w:bookmarkEnd w:id="8"/>
    <w:p w:rsidR="004215A0" w:rsidRDefault="004215A0" w:rsidP="00C876EA">
      <w:pPr>
        <w:spacing w:before="120" w:after="0" w:line="240" w:lineRule="auto"/>
        <w:rPr>
          <w:color w:val="000000"/>
          <w:sz w:val="24"/>
          <w:szCs w:val="24"/>
          <w:shd w:val="clear" w:color="auto" w:fill="FFFFFF"/>
        </w:rPr>
      </w:pPr>
    </w:p>
    <w:p w:rsidR="004215A0" w:rsidRPr="00C876EA" w:rsidRDefault="004215A0" w:rsidP="008251CF">
      <w:pPr>
        <w:spacing w:before="120" w:after="0" w:line="360" w:lineRule="auto"/>
        <w:jc w:val="both"/>
        <w:rPr>
          <w:color w:val="000000"/>
          <w:sz w:val="24"/>
          <w:szCs w:val="24"/>
          <w:shd w:val="clear" w:color="auto" w:fill="FFFFFF"/>
        </w:rPr>
      </w:pPr>
      <w:r>
        <w:rPr>
          <w:color w:val="000000"/>
          <w:sz w:val="24"/>
          <w:szCs w:val="24"/>
          <w:shd w:val="clear" w:color="auto" w:fill="FFFFFF"/>
        </w:rPr>
        <w:t xml:space="preserve">Tabulka č. 4 zobrazuje celkové příjmy a výdaje všech obcí na území České Republiky. Tabulky </w:t>
      </w:r>
      <w:r>
        <w:rPr>
          <w:color w:val="000000"/>
          <w:sz w:val="24"/>
          <w:szCs w:val="24"/>
          <w:shd w:val="clear" w:color="auto" w:fill="FFFFFF"/>
        </w:rPr>
        <w:br/>
        <w:t xml:space="preserve">č. </w:t>
      </w:r>
      <w:smartTag w:uri="urn:schemas-microsoft-com:office:smarttags" w:element="metricconverter">
        <w:smartTagPr>
          <w:attr w:name="ProductID" w:val="5 a"/>
        </w:smartTagPr>
        <w:r>
          <w:rPr>
            <w:color w:val="000000"/>
            <w:sz w:val="24"/>
            <w:szCs w:val="24"/>
            <w:shd w:val="clear" w:color="auto" w:fill="FFFFFF"/>
          </w:rPr>
          <w:t>5 a</w:t>
        </w:r>
      </w:smartTag>
      <w:r>
        <w:rPr>
          <w:color w:val="000000"/>
          <w:sz w:val="24"/>
          <w:szCs w:val="24"/>
          <w:shd w:val="clear" w:color="auto" w:fill="FFFFFF"/>
        </w:rPr>
        <w:t xml:space="preserve"> 6 zobrazují příjmy a výdaje obce na obyvatele. Tabulka č. 5 obsahuje informace </w:t>
      </w:r>
      <w:r>
        <w:rPr>
          <w:color w:val="000000"/>
          <w:sz w:val="24"/>
          <w:szCs w:val="24"/>
          <w:shd w:val="clear" w:color="auto" w:fill="FFFFFF"/>
        </w:rPr>
        <w:br/>
        <w:t>o obci Krásné Údolí a tabulka č. 6 ukazuje příjmy a výdaje obcí přepočtené na jednoho obyvatele a to v rámci celé České republiky.</w:t>
      </w: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Default="004215A0" w:rsidP="00836362">
      <w:pPr>
        <w:spacing w:after="0" w:line="240" w:lineRule="auto"/>
        <w:rPr>
          <w:b/>
          <w:color w:val="000000"/>
          <w:sz w:val="24"/>
          <w:szCs w:val="24"/>
          <w:shd w:val="clear" w:color="auto" w:fill="FFFFFF"/>
        </w:rPr>
      </w:pPr>
    </w:p>
    <w:p w:rsidR="004215A0" w:rsidRPr="004F53A7" w:rsidRDefault="004215A0" w:rsidP="004F53A7">
      <w:pPr>
        <w:pStyle w:val="Nadpis2"/>
        <w:rPr>
          <w:rFonts w:ascii="Calibri" w:hAnsi="Calibri"/>
          <w:b w:val="0"/>
          <w:color w:val="auto"/>
          <w:sz w:val="24"/>
          <w:szCs w:val="24"/>
          <w:shd w:val="clear" w:color="auto" w:fill="FFFFFF"/>
        </w:rPr>
      </w:pPr>
      <w:bookmarkStart w:id="9" w:name="_Toc379566723"/>
      <w:r w:rsidRPr="004F53A7">
        <w:rPr>
          <w:rFonts w:ascii="Calibri" w:hAnsi="Calibri"/>
          <w:color w:val="auto"/>
          <w:sz w:val="24"/>
          <w:szCs w:val="24"/>
          <w:shd w:val="clear" w:color="auto" w:fill="FFFFFF"/>
        </w:rPr>
        <w:t>Tabulka č. 5:</w:t>
      </w:r>
      <w:r w:rsidRPr="004F53A7">
        <w:rPr>
          <w:rFonts w:ascii="Calibri" w:hAnsi="Calibri"/>
          <w:b w:val="0"/>
          <w:color w:val="auto"/>
          <w:sz w:val="24"/>
          <w:szCs w:val="24"/>
          <w:shd w:val="clear" w:color="auto" w:fill="FFFFFF"/>
        </w:rPr>
        <w:t xml:space="preserve"> Příjmy a výdaje obce Krásné Údolí na obyvatele k 31.12. daného roku (v tis. Kč)</w:t>
      </w:r>
      <w:bookmarkEnd w:id="9"/>
    </w:p>
    <w:tbl>
      <w:tblPr>
        <w:tblpPr w:leftFromText="141" w:rightFromText="141" w:vertAnchor="text" w:horzAnchor="margin" w:tblpY="353"/>
        <w:tblW w:w="9747"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3936"/>
        <w:gridCol w:w="1133"/>
        <w:gridCol w:w="1559"/>
        <w:gridCol w:w="1559"/>
        <w:gridCol w:w="1560"/>
      </w:tblGrid>
      <w:tr w:rsidR="004215A0" w:rsidRPr="002C0E33" w:rsidTr="002C0E33">
        <w:trPr>
          <w:trHeight w:val="454"/>
        </w:trPr>
        <w:tc>
          <w:tcPr>
            <w:tcW w:w="3936" w:type="dxa"/>
            <w:tcBorders>
              <w:top w:val="single" w:sz="8" w:space="0" w:color="9BBB59"/>
            </w:tcBorders>
            <w:shd w:val="clear" w:color="auto" w:fill="9BBB59"/>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Položky</w:t>
            </w:r>
          </w:p>
        </w:tc>
        <w:tc>
          <w:tcPr>
            <w:tcW w:w="1133"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559"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559"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c>
          <w:tcPr>
            <w:tcW w:w="156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sz w:val="24"/>
                <w:szCs w:val="24"/>
                <w:lang w:eastAsia="cs-CZ"/>
              </w:rPr>
            </w:pPr>
            <w:r w:rsidRPr="002C0E33">
              <w:rPr>
                <w:rFonts w:ascii="Times New Roman" w:hAnsi="Times New Roman"/>
                <w:b/>
                <w:bCs/>
                <w:sz w:val="24"/>
                <w:szCs w:val="24"/>
                <w:lang w:eastAsia="cs-CZ"/>
              </w:rPr>
              <w:t>2013</w:t>
            </w:r>
          </w:p>
        </w:tc>
      </w:tr>
      <w:tr w:rsidR="004215A0" w:rsidRPr="002C0E33" w:rsidTr="002C0E33">
        <w:trPr>
          <w:trHeight w:val="454"/>
        </w:trPr>
        <w:tc>
          <w:tcPr>
            <w:tcW w:w="3936"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Celkové příjmy na obyvatele</w:t>
            </w:r>
          </w:p>
        </w:tc>
        <w:tc>
          <w:tcPr>
            <w:tcW w:w="1133"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9 539,41</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10 461,88</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11 917,12</w:t>
            </w:r>
          </w:p>
        </w:tc>
        <w:tc>
          <w:tcPr>
            <w:tcW w:w="156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28 538,41</w:t>
            </w:r>
          </w:p>
        </w:tc>
      </w:tr>
      <w:tr w:rsidR="004215A0" w:rsidRPr="002C0E33" w:rsidTr="002C0E33">
        <w:trPr>
          <w:trHeight w:val="454"/>
        </w:trPr>
        <w:tc>
          <w:tcPr>
            <w:tcW w:w="3936"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Daňové příjmy na obyvatele</w:t>
            </w:r>
          </w:p>
        </w:tc>
        <w:tc>
          <w:tcPr>
            <w:tcW w:w="1133"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7 597,03</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7 479,91</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8 112,98</w:t>
            </w:r>
          </w:p>
        </w:tc>
        <w:tc>
          <w:tcPr>
            <w:tcW w:w="1560"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10 036,03</w:t>
            </w:r>
          </w:p>
        </w:tc>
      </w:tr>
      <w:tr w:rsidR="004215A0" w:rsidRPr="002C0E33" w:rsidTr="002C0E33">
        <w:trPr>
          <w:trHeight w:val="454"/>
        </w:trPr>
        <w:tc>
          <w:tcPr>
            <w:tcW w:w="3936"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Nedaňové příjmy na obyvatele</w:t>
            </w:r>
          </w:p>
        </w:tc>
        <w:tc>
          <w:tcPr>
            <w:tcW w:w="1133"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1,16</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1 277,35</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1 881,12</w:t>
            </w:r>
          </w:p>
        </w:tc>
        <w:tc>
          <w:tcPr>
            <w:tcW w:w="156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11 117,52</w:t>
            </w:r>
          </w:p>
        </w:tc>
      </w:tr>
      <w:tr w:rsidR="004215A0" w:rsidRPr="002C0E33" w:rsidTr="002C0E33">
        <w:trPr>
          <w:trHeight w:val="454"/>
        </w:trPr>
        <w:tc>
          <w:tcPr>
            <w:tcW w:w="3936"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Daň z nemovitostní na obyvatele</w:t>
            </w:r>
          </w:p>
        </w:tc>
        <w:tc>
          <w:tcPr>
            <w:tcW w:w="1133"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573,59</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726,67</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779,81</w:t>
            </w:r>
          </w:p>
        </w:tc>
        <w:tc>
          <w:tcPr>
            <w:tcW w:w="1560"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759,52</w:t>
            </w:r>
          </w:p>
        </w:tc>
      </w:tr>
      <w:tr w:rsidR="004215A0" w:rsidRPr="002C0E33" w:rsidTr="002C0E33">
        <w:trPr>
          <w:trHeight w:val="454"/>
        </w:trPr>
        <w:tc>
          <w:tcPr>
            <w:tcW w:w="3936"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Místní daně a poplatky na obyvatele</w:t>
            </w:r>
          </w:p>
        </w:tc>
        <w:tc>
          <w:tcPr>
            <w:tcW w:w="1133"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607,72</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625,35</w:t>
            </w:r>
          </w:p>
        </w:tc>
        <w:tc>
          <w:tcPr>
            <w:tcW w:w="156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671,22</w:t>
            </w:r>
          </w:p>
        </w:tc>
      </w:tr>
      <w:tr w:rsidR="004215A0" w:rsidRPr="002C0E33" w:rsidTr="002C0E33">
        <w:trPr>
          <w:trHeight w:val="454"/>
        </w:trPr>
        <w:tc>
          <w:tcPr>
            <w:tcW w:w="3936"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Kapitálové příjmy na obyvatele</w:t>
            </w:r>
          </w:p>
        </w:tc>
        <w:tc>
          <w:tcPr>
            <w:tcW w:w="1133"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1 152,36</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283,13</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164,11</w:t>
            </w:r>
          </w:p>
        </w:tc>
        <w:tc>
          <w:tcPr>
            <w:tcW w:w="1560"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16,78</w:t>
            </w:r>
          </w:p>
        </w:tc>
      </w:tr>
      <w:tr w:rsidR="004215A0" w:rsidRPr="002C0E33" w:rsidTr="002C0E33">
        <w:trPr>
          <w:trHeight w:val="454"/>
        </w:trPr>
        <w:tc>
          <w:tcPr>
            <w:tcW w:w="3936"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Vlastní příjmy na obyvatele</w:t>
            </w:r>
          </w:p>
        </w:tc>
        <w:tc>
          <w:tcPr>
            <w:tcW w:w="1133"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8 750,55</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9 040,40</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10 158,21</w:t>
            </w:r>
          </w:p>
        </w:tc>
        <w:tc>
          <w:tcPr>
            <w:tcW w:w="156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21 170,32</w:t>
            </w:r>
          </w:p>
        </w:tc>
      </w:tr>
      <w:tr w:rsidR="004215A0" w:rsidRPr="002C0E33" w:rsidTr="002C0E33">
        <w:trPr>
          <w:trHeight w:val="454"/>
        </w:trPr>
        <w:tc>
          <w:tcPr>
            <w:tcW w:w="3936"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Běžné dotace na obyvatele (neinvestiční dotace)</w:t>
            </w:r>
          </w:p>
        </w:tc>
        <w:tc>
          <w:tcPr>
            <w:tcW w:w="1133"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788,86</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759,72</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903,81</w:t>
            </w:r>
          </w:p>
        </w:tc>
        <w:tc>
          <w:tcPr>
            <w:tcW w:w="1560"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2 410,19</w:t>
            </w:r>
          </w:p>
        </w:tc>
      </w:tr>
      <w:tr w:rsidR="004215A0" w:rsidRPr="002C0E33" w:rsidTr="002C0E33">
        <w:trPr>
          <w:trHeight w:val="454"/>
        </w:trPr>
        <w:tc>
          <w:tcPr>
            <w:tcW w:w="3936"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Kapitálové dotace na obyvatele (investiční dotace)</w:t>
            </w:r>
          </w:p>
        </w:tc>
        <w:tc>
          <w:tcPr>
            <w:tcW w:w="1133"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0,00</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661,76</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855,11</w:t>
            </w:r>
          </w:p>
        </w:tc>
        <w:tc>
          <w:tcPr>
            <w:tcW w:w="156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4 957,89</w:t>
            </w:r>
          </w:p>
        </w:tc>
      </w:tr>
      <w:tr w:rsidR="004215A0" w:rsidRPr="002C0E33" w:rsidTr="002C0E33">
        <w:trPr>
          <w:trHeight w:val="454"/>
        </w:trPr>
        <w:tc>
          <w:tcPr>
            <w:tcW w:w="3936"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Dotace celkem na obyvatele</w:t>
            </w:r>
          </w:p>
        </w:tc>
        <w:tc>
          <w:tcPr>
            <w:tcW w:w="1133" w:type="dxa"/>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788,86</w:t>
            </w:r>
          </w:p>
        </w:tc>
        <w:tc>
          <w:tcPr>
            <w:tcW w:w="1559" w:type="dxa"/>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1 421,48</w:t>
            </w:r>
          </w:p>
        </w:tc>
        <w:tc>
          <w:tcPr>
            <w:tcW w:w="1559" w:type="dxa"/>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1 758,91</w:t>
            </w:r>
          </w:p>
        </w:tc>
        <w:tc>
          <w:tcPr>
            <w:tcW w:w="1560" w:type="dxa"/>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7 368,08</w:t>
            </w:r>
          </w:p>
        </w:tc>
      </w:tr>
      <w:tr w:rsidR="004215A0" w:rsidRPr="002C0E33" w:rsidTr="002C0E33">
        <w:trPr>
          <w:trHeight w:val="454"/>
        </w:trPr>
        <w:tc>
          <w:tcPr>
            <w:tcW w:w="3936"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Celkové výdaje na obyvatele</w:t>
            </w:r>
          </w:p>
        </w:tc>
        <w:tc>
          <w:tcPr>
            <w:tcW w:w="1133"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8 827,83</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10 516,94</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15 821,79</w:t>
            </w:r>
          </w:p>
        </w:tc>
        <w:tc>
          <w:tcPr>
            <w:tcW w:w="156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color w:val="000000"/>
                <w:sz w:val="24"/>
                <w:szCs w:val="24"/>
                <w:lang w:eastAsia="cs-CZ"/>
              </w:rPr>
            </w:pPr>
            <w:r w:rsidRPr="002C0E33">
              <w:rPr>
                <w:rFonts w:ascii="Times New Roman" w:hAnsi="Times New Roman"/>
                <w:bCs/>
                <w:color w:val="000000"/>
                <w:sz w:val="24"/>
                <w:szCs w:val="24"/>
                <w:lang w:eastAsia="cs-CZ"/>
              </w:rPr>
              <w:t>27 592,14</w:t>
            </w:r>
          </w:p>
        </w:tc>
      </w:tr>
      <w:tr w:rsidR="004215A0" w:rsidRPr="002C0E33" w:rsidTr="002C0E33">
        <w:trPr>
          <w:trHeight w:val="454"/>
        </w:trPr>
        <w:tc>
          <w:tcPr>
            <w:tcW w:w="3936"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Běžné výdaje na obyvatele (neinvestiční výdaje)</w:t>
            </w:r>
          </w:p>
        </w:tc>
        <w:tc>
          <w:tcPr>
            <w:tcW w:w="1133"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8 758,22</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8 799,09</w:t>
            </w:r>
          </w:p>
        </w:tc>
        <w:tc>
          <w:tcPr>
            <w:tcW w:w="1559"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10 160,57</w:t>
            </w:r>
          </w:p>
        </w:tc>
        <w:tc>
          <w:tcPr>
            <w:tcW w:w="1560"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22 247,95</w:t>
            </w:r>
          </w:p>
        </w:tc>
      </w:tr>
      <w:tr w:rsidR="004215A0" w:rsidRPr="002C0E33" w:rsidTr="002C0E33">
        <w:trPr>
          <w:trHeight w:val="454"/>
        </w:trPr>
        <w:tc>
          <w:tcPr>
            <w:tcW w:w="3936"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Kapitálové výdaje na obyvatele (investiční výdaje)</w:t>
            </w:r>
          </w:p>
        </w:tc>
        <w:tc>
          <w:tcPr>
            <w:tcW w:w="1133"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69,61</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1 717,85</w:t>
            </w:r>
          </w:p>
        </w:tc>
        <w:tc>
          <w:tcPr>
            <w:tcW w:w="1559"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5 661,22</w:t>
            </w:r>
          </w:p>
        </w:tc>
        <w:tc>
          <w:tcPr>
            <w:tcW w:w="156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5 344,20</w:t>
            </w:r>
          </w:p>
        </w:tc>
      </w:tr>
    </w:tbl>
    <w:p w:rsidR="004215A0" w:rsidRDefault="004215A0" w:rsidP="00C85E57">
      <w:pPr>
        <w:spacing w:after="0" w:line="240" w:lineRule="auto"/>
        <w:rPr>
          <w:color w:val="000000"/>
          <w:sz w:val="18"/>
          <w:szCs w:val="18"/>
          <w:shd w:val="clear" w:color="auto" w:fill="FFFFFF"/>
        </w:rPr>
      </w:pPr>
    </w:p>
    <w:p w:rsidR="004215A0" w:rsidRPr="00C85E57" w:rsidRDefault="004215A0" w:rsidP="00497079">
      <w:pPr>
        <w:spacing w:after="0" w:line="240" w:lineRule="auto"/>
        <w:rPr>
          <w:color w:val="000000"/>
          <w:sz w:val="18"/>
          <w:szCs w:val="18"/>
          <w:shd w:val="clear" w:color="auto" w:fill="FFFFFF"/>
        </w:rPr>
      </w:pPr>
      <w:r>
        <w:rPr>
          <w:color w:val="000000"/>
          <w:sz w:val="18"/>
          <w:szCs w:val="18"/>
          <w:shd w:val="clear" w:color="auto" w:fill="FFFFFF"/>
        </w:rPr>
        <w:t xml:space="preserve">Zdroj:  </w:t>
      </w:r>
      <w:r w:rsidRPr="00C85E57">
        <w:rPr>
          <w:sz w:val="18"/>
          <w:szCs w:val="18"/>
        </w:rPr>
        <w:t xml:space="preserve">FRANK, Martin. </w:t>
      </w:r>
      <w:r w:rsidRPr="002E4A29">
        <w:rPr>
          <w:i/>
          <w:sz w:val="18"/>
          <w:szCs w:val="18"/>
        </w:rPr>
        <w:t>Závěrečný účet města Krásné Údolí za rok 2012</w:t>
      </w:r>
      <w:r w:rsidRPr="00C85E57">
        <w:rPr>
          <w:sz w:val="18"/>
          <w:szCs w:val="18"/>
        </w:rPr>
        <w:t xml:space="preserve"> [online]. Město Krásné Údolí: 2013, s. 3 [cit. 2014-02-04]. Dostupné z: http://deska.obeckrasneudoli.cz/2012zav.ucet.pdf</w:t>
      </w:r>
    </w:p>
    <w:p w:rsidR="004215A0" w:rsidRDefault="004215A0" w:rsidP="00425829">
      <w:pPr>
        <w:spacing w:after="0" w:line="240" w:lineRule="auto"/>
        <w:rPr>
          <w:sz w:val="18"/>
          <w:szCs w:val="18"/>
        </w:rPr>
      </w:pPr>
      <w:r w:rsidRPr="00C85E57">
        <w:rPr>
          <w:sz w:val="18"/>
          <w:szCs w:val="18"/>
        </w:rPr>
        <w:t xml:space="preserve">FRANK, Martin. </w:t>
      </w:r>
      <w:r w:rsidRPr="002E4A29">
        <w:rPr>
          <w:i/>
          <w:sz w:val="18"/>
          <w:szCs w:val="18"/>
        </w:rPr>
        <w:t>Závěrečný účet města Krásné Údolí za rok 2011</w:t>
      </w:r>
      <w:r w:rsidRPr="00C85E57">
        <w:rPr>
          <w:sz w:val="18"/>
          <w:szCs w:val="18"/>
        </w:rPr>
        <w:t xml:space="preserve"> [o</w:t>
      </w:r>
      <w:r>
        <w:rPr>
          <w:sz w:val="18"/>
          <w:szCs w:val="18"/>
        </w:rPr>
        <w:t>nline]. Město Krásné Údolí: 2012</w:t>
      </w:r>
      <w:r w:rsidRPr="00C85E57">
        <w:rPr>
          <w:sz w:val="18"/>
          <w:szCs w:val="18"/>
        </w:rPr>
        <w:t xml:space="preserve">, s. 3 [cit. 2014-02-04]. Dostupné z: </w:t>
      </w:r>
      <w:r w:rsidRPr="00425829">
        <w:rPr>
          <w:sz w:val="18"/>
          <w:szCs w:val="18"/>
        </w:rPr>
        <w:t>http://deska.obeckrasneudoli.cz/2011zav.ucet.pdf</w:t>
      </w:r>
    </w:p>
    <w:p w:rsidR="004215A0" w:rsidRDefault="004215A0" w:rsidP="00425829">
      <w:pPr>
        <w:spacing w:after="0" w:line="240" w:lineRule="auto"/>
        <w:rPr>
          <w:sz w:val="18"/>
          <w:szCs w:val="18"/>
        </w:rPr>
      </w:pPr>
      <w:r w:rsidRPr="00C85E57">
        <w:rPr>
          <w:sz w:val="18"/>
          <w:szCs w:val="18"/>
        </w:rPr>
        <w:t xml:space="preserve">FRANK, Martin. </w:t>
      </w:r>
      <w:r w:rsidRPr="002E4A29">
        <w:rPr>
          <w:i/>
          <w:sz w:val="18"/>
          <w:szCs w:val="18"/>
        </w:rPr>
        <w:t>Závěrečný účet města Krásné Údolí za rok 2010</w:t>
      </w:r>
      <w:r w:rsidRPr="00C85E57">
        <w:rPr>
          <w:sz w:val="18"/>
          <w:szCs w:val="18"/>
        </w:rPr>
        <w:t xml:space="preserve"> [o</w:t>
      </w:r>
      <w:r>
        <w:rPr>
          <w:sz w:val="18"/>
          <w:szCs w:val="18"/>
        </w:rPr>
        <w:t>nline]. Město Krásné Údolí: 2011</w:t>
      </w:r>
      <w:r w:rsidRPr="00C85E57">
        <w:rPr>
          <w:sz w:val="18"/>
          <w:szCs w:val="18"/>
        </w:rPr>
        <w:t xml:space="preserve">, s. 3 [cit. 2014-02-04]. Dostupné z: </w:t>
      </w:r>
      <w:r w:rsidRPr="00425829">
        <w:rPr>
          <w:sz w:val="18"/>
          <w:szCs w:val="18"/>
        </w:rPr>
        <w:t>http://deska.obeckrasneudoli.cz/2010zav.ucet.pdf</w:t>
      </w:r>
    </w:p>
    <w:p w:rsidR="004215A0" w:rsidRPr="00C85E57" w:rsidRDefault="004215A0" w:rsidP="00425829">
      <w:pPr>
        <w:spacing w:after="0" w:line="240" w:lineRule="auto"/>
        <w:rPr>
          <w:color w:val="000000"/>
          <w:sz w:val="18"/>
          <w:szCs w:val="18"/>
          <w:shd w:val="clear" w:color="auto" w:fill="FFFFFF"/>
        </w:rPr>
      </w:pPr>
    </w:p>
    <w:p w:rsidR="004215A0" w:rsidRDefault="004215A0">
      <w:pPr>
        <w:rPr>
          <w:b/>
          <w:sz w:val="24"/>
          <w:szCs w:val="24"/>
        </w:rPr>
      </w:pPr>
    </w:p>
    <w:p w:rsidR="004215A0" w:rsidRDefault="004215A0">
      <w:pPr>
        <w:rPr>
          <w:b/>
          <w:sz w:val="24"/>
          <w:szCs w:val="24"/>
        </w:rPr>
      </w:pPr>
    </w:p>
    <w:p w:rsidR="004215A0" w:rsidRDefault="004215A0">
      <w:pPr>
        <w:rPr>
          <w:b/>
          <w:sz w:val="24"/>
          <w:szCs w:val="24"/>
        </w:rPr>
      </w:pPr>
    </w:p>
    <w:p w:rsidR="004215A0" w:rsidRDefault="004215A0">
      <w:pPr>
        <w:rPr>
          <w:b/>
          <w:sz w:val="24"/>
          <w:szCs w:val="24"/>
        </w:rPr>
      </w:pPr>
    </w:p>
    <w:p w:rsidR="004215A0" w:rsidRDefault="004215A0">
      <w:pPr>
        <w:rPr>
          <w:b/>
          <w:sz w:val="24"/>
          <w:szCs w:val="24"/>
        </w:rPr>
      </w:pPr>
    </w:p>
    <w:p w:rsidR="004215A0" w:rsidRDefault="004215A0">
      <w:pPr>
        <w:rPr>
          <w:b/>
          <w:sz w:val="24"/>
          <w:szCs w:val="24"/>
        </w:rPr>
      </w:pPr>
    </w:p>
    <w:p w:rsidR="004215A0" w:rsidRDefault="004215A0">
      <w:pPr>
        <w:rPr>
          <w:b/>
          <w:sz w:val="24"/>
          <w:szCs w:val="24"/>
        </w:rPr>
      </w:pPr>
    </w:p>
    <w:p w:rsidR="004215A0" w:rsidRDefault="004215A0">
      <w:pPr>
        <w:rPr>
          <w:b/>
          <w:sz w:val="24"/>
          <w:szCs w:val="24"/>
        </w:rPr>
      </w:pPr>
    </w:p>
    <w:p w:rsidR="004215A0" w:rsidRDefault="004215A0">
      <w:pPr>
        <w:rPr>
          <w:b/>
          <w:sz w:val="24"/>
          <w:szCs w:val="24"/>
        </w:rPr>
      </w:pPr>
    </w:p>
    <w:p w:rsidR="004215A0" w:rsidRPr="004F53A7" w:rsidRDefault="004215A0" w:rsidP="004F53A7">
      <w:pPr>
        <w:pStyle w:val="Nadpis2"/>
        <w:spacing w:after="120"/>
        <w:rPr>
          <w:rFonts w:ascii="Calibri" w:hAnsi="Calibri"/>
          <w:b w:val="0"/>
          <w:color w:val="auto"/>
          <w:sz w:val="24"/>
          <w:szCs w:val="24"/>
        </w:rPr>
      </w:pPr>
      <w:bookmarkStart w:id="10" w:name="_Toc379566724"/>
      <w:r w:rsidRPr="004F53A7">
        <w:rPr>
          <w:rFonts w:ascii="Calibri" w:hAnsi="Calibri"/>
          <w:color w:val="auto"/>
          <w:sz w:val="24"/>
          <w:szCs w:val="24"/>
        </w:rPr>
        <w:t>Tabulka č. 6:</w:t>
      </w:r>
      <w:r w:rsidRPr="004F53A7">
        <w:rPr>
          <w:rFonts w:ascii="Calibri" w:hAnsi="Calibri"/>
          <w:b w:val="0"/>
          <w:color w:val="auto"/>
          <w:sz w:val="24"/>
          <w:szCs w:val="24"/>
        </w:rPr>
        <w:t xml:space="preserve"> Finance obcí ČR na obyvatele (v tis. Kč)</w:t>
      </w:r>
      <w:bookmarkEnd w:id="10"/>
    </w:p>
    <w:tbl>
      <w:tblPr>
        <w:tblW w:w="9747"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077"/>
        <w:gridCol w:w="1890"/>
        <w:gridCol w:w="1890"/>
        <w:gridCol w:w="1890"/>
      </w:tblGrid>
      <w:tr w:rsidR="004215A0" w:rsidRPr="002C0E33" w:rsidTr="002C0E33">
        <w:trPr>
          <w:trHeight w:val="454"/>
        </w:trPr>
        <w:tc>
          <w:tcPr>
            <w:tcW w:w="4077"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
                <w:bCs/>
                <w:sz w:val="24"/>
                <w:szCs w:val="24"/>
                <w:lang w:eastAsia="cs-CZ"/>
              </w:rPr>
              <w:t> Položky</w:t>
            </w:r>
          </w:p>
        </w:tc>
        <w:tc>
          <w:tcPr>
            <w:tcW w:w="189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sz w:val="24"/>
                <w:szCs w:val="24"/>
                <w:lang w:eastAsia="cs-CZ"/>
              </w:rPr>
            </w:pPr>
            <w:r w:rsidRPr="002C0E33">
              <w:rPr>
                <w:rFonts w:ascii="Times New Roman" w:hAnsi="Times New Roman"/>
                <w:b/>
                <w:bCs/>
                <w:sz w:val="24"/>
                <w:szCs w:val="24"/>
                <w:lang w:eastAsia="cs-CZ"/>
              </w:rPr>
              <w:t>2010</w:t>
            </w:r>
          </w:p>
        </w:tc>
        <w:tc>
          <w:tcPr>
            <w:tcW w:w="189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sz w:val="24"/>
                <w:szCs w:val="24"/>
                <w:lang w:eastAsia="cs-CZ"/>
              </w:rPr>
            </w:pPr>
            <w:r w:rsidRPr="002C0E33">
              <w:rPr>
                <w:rFonts w:ascii="Times New Roman" w:hAnsi="Times New Roman"/>
                <w:b/>
                <w:bCs/>
                <w:sz w:val="24"/>
                <w:szCs w:val="24"/>
                <w:lang w:eastAsia="cs-CZ"/>
              </w:rPr>
              <w:t>2011</w:t>
            </w:r>
          </w:p>
        </w:tc>
        <w:tc>
          <w:tcPr>
            <w:tcW w:w="189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sz w:val="24"/>
                <w:szCs w:val="24"/>
                <w:lang w:eastAsia="cs-CZ"/>
              </w:rPr>
            </w:pPr>
            <w:r w:rsidRPr="002C0E33">
              <w:rPr>
                <w:rFonts w:ascii="Times New Roman" w:hAnsi="Times New Roman"/>
                <w:b/>
                <w:bCs/>
                <w:sz w:val="24"/>
                <w:szCs w:val="24"/>
                <w:lang w:eastAsia="cs-CZ"/>
              </w:rPr>
              <w:t>2012</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sz w:val="24"/>
                <w:szCs w:val="24"/>
                <w:lang w:eastAsia="cs-CZ"/>
              </w:rPr>
            </w:pPr>
            <w:r w:rsidRPr="002C0E33">
              <w:rPr>
                <w:rFonts w:ascii="Times New Roman" w:hAnsi="Times New Roman"/>
                <w:bCs/>
                <w:sz w:val="24"/>
                <w:szCs w:val="24"/>
                <w:lang w:eastAsia="cs-CZ"/>
              </w:rPr>
              <w:t>Celkové příjmy na obyvatele</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26 967,15</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25 589,74</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22 938,88</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Daňové příjmy na obyvatele</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13 585,83</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13 518,70</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13 848,19</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Nedaňové příjmy na obyvatele</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2 584,51</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2 729,31</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2 739,52</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Daň z nemovitostní na obyvatele</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823,75</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820,18</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913,68</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Místní daně a poplatky na obyvatele</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223,55</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270,77</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457,40</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Kapitálové příjmy na obyvatele</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1 214,10</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810,57</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831,90</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Vlastní příjmy</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17 384,45</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17 058,58</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17 419,61</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Běžné dotace na obyvatele (neinvestiční dotace)</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6 792,47</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6 128,63</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3 601,96</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Kapitálové dotace na obyvatele (investiční dotace)</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2 790,23</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2 402,53</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1 917,32</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Dotace celkem</w:t>
            </w:r>
          </w:p>
        </w:tc>
        <w:tc>
          <w:tcPr>
            <w:tcW w:w="1890" w:type="dxa"/>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9 582,70</w:t>
            </w:r>
          </w:p>
        </w:tc>
        <w:tc>
          <w:tcPr>
            <w:tcW w:w="1890" w:type="dxa"/>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8 531,16</w:t>
            </w:r>
          </w:p>
        </w:tc>
        <w:tc>
          <w:tcPr>
            <w:tcW w:w="1890" w:type="dxa"/>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5 519,27</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Celkové výdaje</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27 290,13</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25 702,91</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bCs/>
                <w:sz w:val="24"/>
                <w:szCs w:val="24"/>
                <w:lang w:eastAsia="cs-CZ"/>
              </w:rPr>
            </w:pPr>
            <w:r w:rsidRPr="002C0E33">
              <w:rPr>
                <w:rFonts w:ascii="Times New Roman" w:hAnsi="Times New Roman"/>
                <w:bCs/>
                <w:sz w:val="24"/>
                <w:szCs w:val="24"/>
                <w:lang w:eastAsia="cs-CZ"/>
              </w:rPr>
              <w:t>22 368,33</w:t>
            </w:r>
          </w:p>
        </w:tc>
      </w:tr>
      <w:tr w:rsidR="004215A0" w:rsidRPr="002C0E33" w:rsidTr="002C0E33">
        <w:trPr>
          <w:trHeight w:val="454"/>
        </w:trPr>
        <w:tc>
          <w:tcPr>
            <w:tcW w:w="4077"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Běžné výdaje na obyvatele (neinvestiční výdaje)</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18 949,96</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18 482,92</w:t>
            </w:r>
          </w:p>
        </w:tc>
        <w:tc>
          <w:tcPr>
            <w:tcW w:w="1890"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15 953,64</w:t>
            </w:r>
          </w:p>
        </w:tc>
      </w:tr>
      <w:tr w:rsidR="004215A0" w:rsidRPr="002C0E33" w:rsidTr="002C0E33">
        <w:trPr>
          <w:trHeight w:val="454"/>
        </w:trPr>
        <w:tc>
          <w:tcPr>
            <w:tcW w:w="407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Kapitálové výdaje na obyvatele (investiční výdaje)</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8 340,17</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7 219,99</w:t>
            </w:r>
          </w:p>
        </w:tc>
        <w:tc>
          <w:tcPr>
            <w:tcW w:w="189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6 414,68</w:t>
            </w:r>
          </w:p>
        </w:tc>
      </w:tr>
    </w:tbl>
    <w:p w:rsidR="004215A0" w:rsidRPr="00DA4D3E" w:rsidRDefault="004215A0">
      <w:pPr>
        <w:rPr>
          <w:sz w:val="18"/>
          <w:szCs w:val="18"/>
        </w:rPr>
      </w:pPr>
      <w:r w:rsidRPr="006502CB">
        <w:rPr>
          <w:sz w:val="18"/>
          <w:szCs w:val="18"/>
        </w:rPr>
        <w:t xml:space="preserve">Zdroj: </w:t>
      </w:r>
      <w:r w:rsidRPr="00BA5435">
        <w:rPr>
          <w:i/>
          <w:sz w:val="18"/>
          <w:szCs w:val="18"/>
        </w:rPr>
        <w:t>Český statistický úřad:</w:t>
      </w:r>
      <w:r w:rsidRPr="00B762F9">
        <w:rPr>
          <w:i/>
          <w:sz w:val="18"/>
          <w:szCs w:val="18"/>
        </w:rPr>
        <w:t xml:space="preserve"> Příjmy</w:t>
      </w:r>
      <w:r>
        <w:rPr>
          <w:i/>
          <w:sz w:val="18"/>
          <w:szCs w:val="18"/>
        </w:rPr>
        <w:t xml:space="preserve"> a výdaje </w:t>
      </w:r>
      <w:r w:rsidRPr="00B762F9">
        <w:rPr>
          <w:i/>
          <w:sz w:val="18"/>
          <w:szCs w:val="18"/>
        </w:rPr>
        <w:t>obcí</w:t>
      </w:r>
      <w:r>
        <w:rPr>
          <w:color w:val="000000"/>
          <w:sz w:val="18"/>
          <w:szCs w:val="18"/>
          <w:shd w:val="clear" w:color="auto" w:fill="FFFFFF"/>
        </w:rPr>
        <w:t xml:space="preserve">[online]. ČSÚ. [cit. 4.2.2014]. Dostupné z: </w:t>
      </w:r>
      <w:r w:rsidRPr="002E4A29">
        <w:rPr>
          <w:color w:val="000000"/>
          <w:sz w:val="18"/>
          <w:szCs w:val="18"/>
          <w:shd w:val="clear" w:color="auto" w:fill="FFFFFF"/>
        </w:rPr>
        <w:t>http://vdb.czso.cz/vdbvo/tabparam.jsp?childsel0=3&amp;cislotab=FIN4010UC_KR&amp;kapitola_id=24&amp;voa=tabulka&amp;go_zobraz=1&amp;childsel0=3&amp;pro_4_45=CZ&amp;aktualizuj=Aktualizovat</w:t>
      </w:r>
      <w:r>
        <w:rPr>
          <w:color w:val="000000"/>
          <w:sz w:val="18"/>
          <w:szCs w:val="18"/>
          <w:shd w:val="clear" w:color="auto" w:fill="FFFFFF"/>
        </w:rPr>
        <w:t xml:space="preserve">; </w:t>
      </w:r>
      <w:r w:rsidRPr="005267E5">
        <w:rPr>
          <w:color w:val="000000"/>
          <w:sz w:val="18"/>
          <w:szCs w:val="18"/>
          <w:shd w:val="clear" w:color="auto" w:fill="FFFFFF"/>
        </w:rPr>
        <w:t>http://vdb.czso.cz/vdbvo/tabparam.jsp?cislotab=FIN4020UC_KR&amp;kapitola_id=24&amp;voa=tabulka&amp;go_zobraz=1&amp;childsel0=3&amp;pro_4_45=CZ</w:t>
      </w:r>
    </w:p>
    <w:p w:rsidR="004215A0" w:rsidRDefault="004215A0" w:rsidP="008F61BE">
      <w:pPr>
        <w:spacing w:after="240" w:line="360" w:lineRule="auto"/>
        <w:jc w:val="both"/>
        <w:rPr>
          <w:sz w:val="24"/>
          <w:szCs w:val="24"/>
        </w:rPr>
      </w:pPr>
      <w:r>
        <w:rPr>
          <w:sz w:val="24"/>
          <w:szCs w:val="24"/>
        </w:rPr>
        <w:t>Z hlediska celorepublikových příjmů obce na obyvatele se obec Krásné Údolí pohybovala do roku 2012 výrazně pod celorepublikovým průměrem. V roce 2013 došlo ovšem k rapidnímu nárůstu celkových příjmů obce Krásné Údolí, tudíž i k navýšení příjmů na jednoho obyvatele a došlo tak k vyrovnání se s celorepublikovým průměrem příjmu na obyvatele. Z pohledu obce Krásné Údolí lze konstatovat, že celkové výdaje na obyvatele v čase výrazně narůstají, přičemž v rámci celé České republiky je tomu naopak a celkové výdaje na obyvatele v rámci sledovaných let klesají.</w:t>
      </w:r>
    </w:p>
    <w:p w:rsidR="004215A0" w:rsidRPr="004F53A7" w:rsidRDefault="004215A0" w:rsidP="004F53A7">
      <w:pPr>
        <w:pStyle w:val="Nadpis2"/>
        <w:spacing w:after="120"/>
        <w:rPr>
          <w:rFonts w:ascii="Calibri" w:hAnsi="Calibri"/>
          <w:b w:val="0"/>
          <w:color w:val="auto"/>
          <w:sz w:val="24"/>
          <w:szCs w:val="24"/>
        </w:rPr>
      </w:pPr>
      <w:bookmarkStart w:id="11" w:name="_Toc379566725"/>
      <w:r w:rsidRPr="004F53A7">
        <w:rPr>
          <w:rFonts w:ascii="Calibri" w:hAnsi="Calibri"/>
          <w:color w:val="auto"/>
          <w:sz w:val="24"/>
          <w:szCs w:val="24"/>
        </w:rPr>
        <w:t>Tabulka č. 7:</w:t>
      </w:r>
      <w:r w:rsidRPr="004F53A7">
        <w:rPr>
          <w:rFonts w:ascii="Calibri" w:hAnsi="Calibri"/>
          <w:b w:val="0"/>
          <w:color w:val="auto"/>
          <w:sz w:val="24"/>
          <w:szCs w:val="24"/>
        </w:rPr>
        <w:t xml:space="preserve"> Finanční úspora obce Krásné Údolí (v %)</w:t>
      </w:r>
      <w:bookmarkEnd w:id="11"/>
    </w:p>
    <w:tbl>
      <w:tblPr>
        <w:tblW w:w="846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3312"/>
        <w:gridCol w:w="1312"/>
        <w:gridCol w:w="1314"/>
        <w:gridCol w:w="1210"/>
        <w:gridCol w:w="1320"/>
      </w:tblGrid>
      <w:tr w:rsidR="004215A0" w:rsidRPr="002C0E33" w:rsidTr="00A50E6A">
        <w:trPr>
          <w:trHeight w:val="454"/>
        </w:trPr>
        <w:tc>
          <w:tcPr>
            <w:tcW w:w="3312"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 </w:t>
            </w:r>
          </w:p>
        </w:tc>
        <w:tc>
          <w:tcPr>
            <w:tcW w:w="1312"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314"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21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c>
          <w:tcPr>
            <w:tcW w:w="132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2013</w:t>
            </w:r>
          </w:p>
        </w:tc>
      </w:tr>
      <w:tr w:rsidR="004215A0" w:rsidRPr="002C0E33" w:rsidTr="00A50E6A">
        <w:trPr>
          <w:trHeight w:val="454"/>
        </w:trPr>
        <w:tc>
          <w:tcPr>
            <w:tcW w:w="3312"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Samofinancování neinvestičních výdajů v %</w:t>
            </w:r>
          </w:p>
        </w:tc>
        <w:tc>
          <w:tcPr>
            <w:tcW w:w="131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99,91%</w:t>
            </w:r>
          </w:p>
        </w:tc>
        <w:tc>
          <w:tcPr>
            <w:tcW w:w="1314"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102,74%</w:t>
            </w:r>
          </w:p>
        </w:tc>
        <w:tc>
          <w:tcPr>
            <w:tcW w:w="121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99,98%</w:t>
            </w:r>
          </w:p>
        </w:tc>
        <w:tc>
          <w:tcPr>
            <w:tcW w:w="132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95,16%</w:t>
            </w:r>
          </w:p>
        </w:tc>
      </w:tr>
    </w:tbl>
    <w:p w:rsidR="004215A0" w:rsidRPr="007A7281" w:rsidRDefault="004215A0" w:rsidP="00943D20">
      <w:pPr>
        <w:spacing w:after="0" w:line="360" w:lineRule="auto"/>
        <w:jc w:val="both"/>
        <w:rPr>
          <w:sz w:val="18"/>
          <w:szCs w:val="18"/>
        </w:rPr>
      </w:pPr>
      <w:r>
        <w:rPr>
          <w:sz w:val="18"/>
          <w:szCs w:val="18"/>
        </w:rPr>
        <w:t>Zdroj: Vlastní zpracování, Cheb.</w:t>
      </w:r>
    </w:p>
    <w:p w:rsidR="004215A0" w:rsidRDefault="004215A0" w:rsidP="00943D20">
      <w:pPr>
        <w:spacing w:after="0" w:line="360" w:lineRule="auto"/>
        <w:jc w:val="both"/>
        <w:rPr>
          <w:b/>
          <w:sz w:val="24"/>
          <w:szCs w:val="24"/>
        </w:rPr>
      </w:pPr>
    </w:p>
    <w:p w:rsidR="004215A0" w:rsidRDefault="004215A0" w:rsidP="00943D20">
      <w:pPr>
        <w:spacing w:after="0" w:line="360" w:lineRule="auto"/>
        <w:jc w:val="both"/>
        <w:rPr>
          <w:b/>
          <w:sz w:val="24"/>
          <w:szCs w:val="24"/>
        </w:rPr>
      </w:pPr>
    </w:p>
    <w:p w:rsidR="004215A0" w:rsidRPr="004F53A7" w:rsidRDefault="004215A0" w:rsidP="004F53A7">
      <w:pPr>
        <w:pStyle w:val="Nadpis2"/>
        <w:spacing w:after="120"/>
        <w:rPr>
          <w:rFonts w:ascii="Calibri" w:hAnsi="Calibri"/>
          <w:b w:val="0"/>
          <w:color w:val="auto"/>
          <w:sz w:val="24"/>
          <w:szCs w:val="24"/>
        </w:rPr>
      </w:pPr>
      <w:bookmarkStart w:id="12" w:name="_Toc379566726"/>
      <w:r w:rsidRPr="004F53A7">
        <w:rPr>
          <w:rFonts w:ascii="Calibri" w:hAnsi="Calibri"/>
          <w:color w:val="auto"/>
          <w:sz w:val="24"/>
          <w:szCs w:val="24"/>
        </w:rPr>
        <w:t>Tabulka č. 8:</w:t>
      </w:r>
      <w:r w:rsidRPr="004F53A7">
        <w:rPr>
          <w:rFonts w:ascii="Calibri" w:hAnsi="Calibri"/>
          <w:b w:val="0"/>
          <w:color w:val="auto"/>
          <w:sz w:val="24"/>
          <w:szCs w:val="24"/>
        </w:rPr>
        <w:t xml:space="preserve"> Finanční úspora obcí v rámci ČR (v %)</w:t>
      </w:r>
      <w:bookmarkEnd w:id="12"/>
    </w:p>
    <w:tbl>
      <w:tblPr>
        <w:tblW w:w="8468" w:type="dxa"/>
        <w:tblBorders>
          <w:top w:val="single" w:sz="8" w:space="0" w:color="9BBB59"/>
          <w:left w:val="single" w:sz="8" w:space="0" w:color="9BBB59"/>
          <w:bottom w:val="single" w:sz="8" w:space="0" w:color="9BBB59"/>
          <w:right w:val="single" w:sz="8" w:space="0" w:color="9BBB59"/>
        </w:tblBorders>
        <w:tblLook w:val="00A0" w:firstRow="1" w:lastRow="0" w:firstColumn="1" w:lastColumn="0" w:noHBand="0" w:noVBand="0"/>
      </w:tblPr>
      <w:tblGrid>
        <w:gridCol w:w="3312"/>
        <w:gridCol w:w="1856"/>
        <w:gridCol w:w="1650"/>
        <w:gridCol w:w="1650"/>
      </w:tblGrid>
      <w:tr w:rsidR="004215A0" w:rsidRPr="002C0E33" w:rsidTr="00A50E6A">
        <w:trPr>
          <w:trHeight w:val="454"/>
        </w:trPr>
        <w:tc>
          <w:tcPr>
            <w:tcW w:w="3312"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 </w:t>
            </w:r>
          </w:p>
        </w:tc>
        <w:tc>
          <w:tcPr>
            <w:tcW w:w="1856"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65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65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r>
      <w:tr w:rsidR="004215A0" w:rsidRPr="002C0E33" w:rsidTr="00A50E6A">
        <w:trPr>
          <w:trHeight w:val="454"/>
        </w:trPr>
        <w:tc>
          <w:tcPr>
            <w:tcW w:w="3312"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Samofinancování neinvestičních výdajů v %</w:t>
            </w:r>
          </w:p>
        </w:tc>
        <w:tc>
          <w:tcPr>
            <w:tcW w:w="1856"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91,74%</w:t>
            </w:r>
          </w:p>
        </w:tc>
        <w:tc>
          <w:tcPr>
            <w:tcW w:w="165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92,29%</w:t>
            </w:r>
          </w:p>
        </w:tc>
        <w:tc>
          <w:tcPr>
            <w:tcW w:w="165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109,19%</w:t>
            </w:r>
          </w:p>
        </w:tc>
      </w:tr>
    </w:tbl>
    <w:p w:rsidR="004215A0" w:rsidRDefault="004215A0" w:rsidP="00943D20">
      <w:pPr>
        <w:spacing w:after="0" w:line="360" w:lineRule="auto"/>
        <w:jc w:val="both"/>
        <w:rPr>
          <w:sz w:val="18"/>
          <w:szCs w:val="18"/>
        </w:rPr>
      </w:pPr>
      <w:r>
        <w:rPr>
          <w:sz w:val="18"/>
          <w:szCs w:val="18"/>
        </w:rPr>
        <w:t>Zdroj: Vlastní zpracování, Cheb.</w:t>
      </w:r>
    </w:p>
    <w:p w:rsidR="004215A0" w:rsidRPr="0006126F" w:rsidRDefault="004215A0" w:rsidP="0006126F">
      <w:pPr>
        <w:spacing w:before="240" w:after="120" w:line="360" w:lineRule="auto"/>
        <w:jc w:val="both"/>
        <w:rPr>
          <w:sz w:val="24"/>
          <w:szCs w:val="24"/>
        </w:rPr>
      </w:pPr>
      <w:r>
        <w:rPr>
          <w:sz w:val="24"/>
          <w:szCs w:val="24"/>
        </w:rPr>
        <w:t>Tabulka č. 7 zohledňuje úroveň samofinancování neinvestičních výdajů v obci Krásné Údolí v procentuálním vyjádření. Tabulka č. 8 vyjadřuje finanční úsporu ze samofinancování v rámci celé České republiky.  Zatímco u obce Krásné Údolí dochází ve sledovaných letech k poklesu úrovně samofinancování a finanční úspory, z hlediska celé České republiky finanční úspora roste.</w:t>
      </w:r>
    </w:p>
    <w:p w:rsidR="004215A0" w:rsidRPr="004F53A7" w:rsidRDefault="004215A0" w:rsidP="004F53A7">
      <w:pPr>
        <w:pStyle w:val="Nadpis2"/>
        <w:spacing w:after="120"/>
        <w:rPr>
          <w:rFonts w:ascii="Calibri" w:hAnsi="Calibri"/>
          <w:b w:val="0"/>
          <w:color w:val="auto"/>
          <w:sz w:val="24"/>
          <w:szCs w:val="24"/>
        </w:rPr>
      </w:pPr>
      <w:bookmarkStart w:id="13" w:name="_Toc379566727"/>
      <w:r w:rsidRPr="004F53A7">
        <w:rPr>
          <w:rFonts w:ascii="Calibri" w:hAnsi="Calibri"/>
          <w:color w:val="auto"/>
          <w:sz w:val="24"/>
          <w:szCs w:val="24"/>
        </w:rPr>
        <w:t>Tabulka č. 9:</w:t>
      </w:r>
      <w:r w:rsidRPr="004F53A7">
        <w:rPr>
          <w:rFonts w:ascii="Calibri" w:hAnsi="Calibri"/>
          <w:b w:val="0"/>
          <w:color w:val="auto"/>
          <w:sz w:val="24"/>
          <w:szCs w:val="24"/>
        </w:rPr>
        <w:t xml:space="preserve"> Analýza příjmů obce Krásné Údolí (v %)</w:t>
      </w:r>
      <w:bookmarkEnd w:id="13"/>
    </w:p>
    <w:tbl>
      <w:tblPr>
        <w:tblpPr w:leftFromText="141" w:rightFromText="141" w:vertAnchor="text" w:horzAnchor="margin" w:tblpY="39"/>
        <w:tblW w:w="8472"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3652"/>
        <w:gridCol w:w="1205"/>
        <w:gridCol w:w="1205"/>
        <w:gridCol w:w="1205"/>
        <w:gridCol w:w="1205"/>
      </w:tblGrid>
      <w:tr w:rsidR="004215A0" w:rsidRPr="002C0E33" w:rsidTr="002C0E33">
        <w:trPr>
          <w:trHeight w:val="454"/>
        </w:trPr>
        <w:tc>
          <w:tcPr>
            <w:tcW w:w="3652"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p>
        </w:tc>
        <w:tc>
          <w:tcPr>
            <w:tcW w:w="1205"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205"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205"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c>
          <w:tcPr>
            <w:tcW w:w="1205"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2013</w:t>
            </w:r>
          </w:p>
        </w:tc>
      </w:tr>
      <w:tr w:rsidR="004215A0" w:rsidRPr="002C0E33" w:rsidTr="002C0E33">
        <w:trPr>
          <w:trHeight w:val="454"/>
        </w:trPr>
        <w:tc>
          <w:tcPr>
            <w:tcW w:w="3652"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Meziroční růst vlastního příjmu v %</w:t>
            </w:r>
          </w:p>
        </w:tc>
        <w:tc>
          <w:tcPr>
            <w:tcW w:w="1205"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96,49%</w:t>
            </w:r>
          </w:p>
        </w:tc>
        <w:tc>
          <w:tcPr>
            <w:tcW w:w="1205"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104,03%</w:t>
            </w:r>
          </w:p>
        </w:tc>
        <w:tc>
          <w:tcPr>
            <w:tcW w:w="1205"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109,00%</w:t>
            </w:r>
          </w:p>
        </w:tc>
        <w:tc>
          <w:tcPr>
            <w:tcW w:w="1205"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208,41%</w:t>
            </w:r>
          </w:p>
        </w:tc>
      </w:tr>
      <w:tr w:rsidR="004215A0" w:rsidRPr="002C0E33" w:rsidTr="002C0E33">
        <w:trPr>
          <w:trHeight w:val="454"/>
        </w:trPr>
        <w:tc>
          <w:tcPr>
            <w:tcW w:w="3652" w:type="dxa"/>
            <w:tcBorders>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Finanční nezávislost v %</w:t>
            </w:r>
          </w:p>
        </w:tc>
        <w:tc>
          <w:tcPr>
            <w:tcW w:w="1205"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91,73%</w:t>
            </w:r>
          </w:p>
        </w:tc>
        <w:tc>
          <w:tcPr>
            <w:tcW w:w="1205"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86,41%</w:t>
            </w:r>
          </w:p>
        </w:tc>
        <w:tc>
          <w:tcPr>
            <w:tcW w:w="1205"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85,24%</w:t>
            </w:r>
          </w:p>
        </w:tc>
        <w:tc>
          <w:tcPr>
            <w:tcW w:w="1205"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74,18%</w:t>
            </w:r>
          </w:p>
        </w:tc>
      </w:tr>
    </w:tbl>
    <w:p w:rsidR="004215A0" w:rsidRDefault="004215A0" w:rsidP="00943D20">
      <w:pPr>
        <w:spacing w:after="0" w:line="360" w:lineRule="auto"/>
        <w:jc w:val="both"/>
        <w:rPr>
          <w:sz w:val="24"/>
          <w:szCs w:val="24"/>
        </w:rPr>
      </w:pPr>
    </w:p>
    <w:p w:rsidR="004215A0" w:rsidRDefault="004215A0" w:rsidP="00943D20">
      <w:pPr>
        <w:spacing w:after="0" w:line="360" w:lineRule="auto"/>
        <w:jc w:val="both"/>
        <w:rPr>
          <w:sz w:val="24"/>
          <w:szCs w:val="24"/>
        </w:rPr>
      </w:pPr>
    </w:p>
    <w:p w:rsidR="004215A0" w:rsidRDefault="004215A0" w:rsidP="00943D20">
      <w:pPr>
        <w:spacing w:after="0" w:line="360" w:lineRule="auto"/>
        <w:jc w:val="both"/>
        <w:rPr>
          <w:sz w:val="24"/>
          <w:szCs w:val="24"/>
        </w:rPr>
      </w:pPr>
    </w:p>
    <w:p w:rsidR="004215A0" w:rsidRDefault="004215A0" w:rsidP="00BB63B2">
      <w:pPr>
        <w:spacing w:after="0" w:line="240" w:lineRule="auto"/>
        <w:jc w:val="both"/>
        <w:rPr>
          <w:sz w:val="24"/>
          <w:szCs w:val="24"/>
        </w:rPr>
      </w:pPr>
    </w:p>
    <w:p w:rsidR="004215A0" w:rsidRPr="00BB63B2" w:rsidRDefault="004215A0" w:rsidP="00BB63B2">
      <w:pPr>
        <w:spacing w:after="0" w:line="240" w:lineRule="auto"/>
        <w:jc w:val="both"/>
        <w:rPr>
          <w:sz w:val="18"/>
          <w:szCs w:val="18"/>
        </w:rPr>
      </w:pPr>
      <w:r w:rsidRPr="00BB63B2">
        <w:rPr>
          <w:sz w:val="18"/>
          <w:szCs w:val="18"/>
        </w:rPr>
        <w:t>Zdroj: Vlastní zpracování, Cheb.</w:t>
      </w:r>
    </w:p>
    <w:p w:rsidR="004215A0" w:rsidRPr="004F53A7" w:rsidRDefault="004215A0" w:rsidP="004F53A7">
      <w:pPr>
        <w:pStyle w:val="Nadpis2"/>
        <w:spacing w:after="120"/>
        <w:rPr>
          <w:rFonts w:ascii="Calibri" w:hAnsi="Calibri"/>
          <w:b w:val="0"/>
          <w:color w:val="auto"/>
          <w:sz w:val="24"/>
          <w:szCs w:val="24"/>
        </w:rPr>
      </w:pPr>
      <w:bookmarkStart w:id="14" w:name="_Toc379566728"/>
      <w:r w:rsidRPr="004F53A7">
        <w:rPr>
          <w:rFonts w:ascii="Calibri" w:hAnsi="Calibri"/>
          <w:color w:val="auto"/>
          <w:sz w:val="24"/>
          <w:szCs w:val="24"/>
        </w:rPr>
        <w:t>Tabulka č. 10:</w:t>
      </w:r>
      <w:r w:rsidRPr="004F53A7">
        <w:rPr>
          <w:rFonts w:ascii="Calibri" w:hAnsi="Calibri"/>
          <w:b w:val="0"/>
          <w:color w:val="auto"/>
          <w:sz w:val="24"/>
          <w:szCs w:val="24"/>
        </w:rPr>
        <w:t xml:space="preserve"> Analýza příjmů obcí v rámci ČR (v %)</w:t>
      </w:r>
      <w:bookmarkEnd w:id="14"/>
    </w:p>
    <w:tbl>
      <w:tblPr>
        <w:tblpPr w:leftFromText="141" w:rightFromText="141" w:vertAnchor="text" w:horzAnchor="margin" w:tblpY="39"/>
        <w:tblW w:w="8468"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3652"/>
        <w:gridCol w:w="1626"/>
        <w:gridCol w:w="1650"/>
        <w:gridCol w:w="1540"/>
      </w:tblGrid>
      <w:tr w:rsidR="004215A0" w:rsidRPr="002C0E33" w:rsidTr="00A50E6A">
        <w:trPr>
          <w:trHeight w:val="454"/>
        </w:trPr>
        <w:tc>
          <w:tcPr>
            <w:tcW w:w="3652"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p>
        </w:tc>
        <w:tc>
          <w:tcPr>
            <w:tcW w:w="1626"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65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540"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r>
      <w:tr w:rsidR="004215A0" w:rsidRPr="002C0E33" w:rsidTr="00A50E6A">
        <w:trPr>
          <w:trHeight w:val="454"/>
        </w:trPr>
        <w:tc>
          <w:tcPr>
            <w:tcW w:w="3652"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Meziroční růst vlastního příjmu v %</w:t>
            </w:r>
          </w:p>
        </w:tc>
        <w:tc>
          <w:tcPr>
            <w:tcW w:w="1626"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103,24%</w:t>
            </w:r>
          </w:p>
        </w:tc>
        <w:tc>
          <w:tcPr>
            <w:tcW w:w="165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97,93%</w:t>
            </w:r>
          </w:p>
        </w:tc>
        <w:tc>
          <w:tcPr>
            <w:tcW w:w="1540"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102,24%</w:t>
            </w:r>
          </w:p>
        </w:tc>
      </w:tr>
      <w:tr w:rsidR="004215A0" w:rsidRPr="002C0E33" w:rsidTr="00A50E6A">
        <w:trPr>
          <w:trHeight w:val="454"/>
        </w:trPr>
        <w:tc>
          <w:tcPr>
            <w:tcW w:w="3652" w:type="dxa"/>
            <w:tcBorders>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Finanční nezávislost v %</w:t>
            </w:r>
          </w:p>
        </w:tc>
        <w:tc>
          <w:tcPr>
            <w:tcW w:w="1626"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64,47%</w:t>
            </w:r>
          </w:p>
        </w:tc>
        <w:tc>
          <w:tcPr>
            <w:tcW w:w="1650"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66,66%</w:t>
            </w:r>
          </w:p>
        </w:tc>
        <w:tc>
          <w:tcPr>
            <w:tcW w:w="1540"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75,94%</w:t>
            </w:r>
          </w:p>
        </w:tc>
      </w:tr>
    </w:tbl>
    <w:p w:rsidR="004215A0" w:rsidRDefault="004215A0" w:rsidP="00943D20">
      <w:pPr>
        <w:spacing w:after="0" w:line="360" w:lineRule="auto"/>
        <w:jc w:val="both"/>
        <w:rPr>
          <w:sz w:val="24"/>
          <w:szCs w:val="24"/>
        </w:rPr>
      </w:pPr>
    </w:p>
    <w:p w:rsidR="004215A0" w:rsidRDefault="004215A0" w:rsidP="00943D20">
      <w:pPr>
        <w:spacing w:after="0" w:line="360" w:lineRule="auto"/>
        <w:jc w:val="both"/>
        <w:rPr>
          <w:sz w:val="24"/>
          <w:szCs w:val="24"/>
        </w:rPr>
      </w:pPr>
    </w:p>
    <w:p w:rsidR="004215A0" w:rsidRDefault="004215A0" w:rsidP="00943D20">
      <w:pPr>
        <w:spacing w:after="0" w:line="360" w:lineRule="auto"/>
        <w:jc w:val="both"/>
        <w:rPr>
          <w:sz w:val="24"/>
          <w:szCs w:val="24"/>
        </w:rPr>
      </w:pPr>
    </w:p>
    <w:p w:rsidR="004215A0" w:rsidRDefault="004215A0" w:rsidP="00BB63B2">
      <w:pPr>
        <w:spacing w:after="0" w:line="240" w:lineRule="auto"/>
        <w:jc w:val="both"/>
        <w:rPr>
          <w:sz w:val="24"/>
          <w:szCs w:val="24"/>
        </w:rPr>
      </w:pPr>
    </w:p>
    <w:p w:rsidR="004215A0" w:rsidRPr="00BB63B2" w:rsidRDefault="004215A0" w:rsidP="00BB63B2">
      <w:pPr>
        <w:spacing w:after="0" w:line="240" w:lineRule="auto"/>
        <w:jc w:val="both"/>
        <w:rPr>
          <w:sz w:val="18"/>
          <w:szCs w:val="18"/>
        </w:rPr>
      </w:pPr>
      <w:r>
        <w:rPr>
          <w:sz w:val="18"/>
          <w:szCs w:val="18"/>
        </w:rPr>
        <w:t>Zdroj: Vlastní zpracování, Cheb.</w:t>
      </w:r>
    </w:p>
    <w:p w:rsidR="004215A0" w:rsidRDefault="004215A0" w:rsidP="00C80852">
      <w:pPr>
        <w:spacing w:before="240" w:after="0" w:line="360" w:lineRule="auto"/>
        <w:jc w:val="both"/>
        <w:rPr>
          <w:sz w:val="24"/>
          <w:szCs w:val="24"/>
        </w:rPr>
      </w:pPr>
      <w:r>
        <w:rPr>
          <w:sz w:val="24"/>
          <w:szCs w:val="24"/>
        </w:rPr>
        <w:t xml:space="preserve">Tabulka č. 9 procentuálně vyjadřuje meziroční růst příjmů a finanční nezávislost obce Krásné Údolí. Zatímco finanční nezávislost obce ve sledovaných letech kolísá kolem hranice 80%, meziroční růst příjmů se stabilně pohybuje kolem hranice 100%. V roce 2013 navíc došlo k dvojnásobnému růstu vlastních příjmů obce. Tabulka č. 9 ukazuje finanční nezávislost </w:t>
      </w:r>
      <w:r>
        <w:rPr>
          <w:sz w:val="24"/>
          <w:szCs w:val="24"/>
        </w:rPr>
        <w:br/>
        <w:t xml:space="preserve">a meziroční růst vlastních příjmů obcí v rámci celé ČR.  Celorepubliková finanční nezávislost obcí je o několik jednotek procent nižší, než u obce Krásné Údolí. </w:t>
      </w:r>
    </w:p>
    <w:p w:rsidR="004215A0" w:rsidRDefault="004215A0" w:rsidP="00B16ACA">
      <w:pPr>
        <w:spacing w:before="120" w:after="0" w:line="360" w:lineRule="auto"/>
        <w:jc w:val="both"/>
        <w:rPr>
          <w:b/>
          <w:sz w:val="24"/>
          <w:szCs w:val="24"/>
        </w:rPr>
      </w:pPr>
    </w:p>
    <w:p w:rsidR="004215A0" w:rsidRDefault="004215A0" w:rsidP="00B16ACA">
      <w:pPr>
        <w:spacing w:before="120" w:after="0" w:line="360" w:lineRule="auto"/>
        <w:jc w:val="both"/>
        <w:rPr>
          <w:b/>
          <w:sz w:val="24"/>
          <w:szCs w:val="24"/>
        </w:rPr>
      </w:pPr>
    </w:p>
    <w:p w:rsidR="004215A0" w:rsidRDefault="004215A0">
      <w:pPr>
        <w:spacing w:after="0" w:line="240" w:lineRule="auto"/>
        <w:rPr>
          <w:b/>
          <w:bCs/>
          <w:sz w:val="24"/>
          <w:szCs w:val="24"/>
        </w:rPr>
      </w:pPr>
      <w:r>
        <w:rPr>
          <w:sz w:val="24"/>
          <w:szCs w:val="24"/>
        </w:rPr>
        <w:br w:type="page"/>
      </w:r>
    </w:p>
    <w:p w:rsidR="004215A0" w:rsidRPr="004F53A7" w:rsidRDefault="004215A0" w:rsidP="004F53A7">
      <w:pPr>
        <w:pStyle w:val="Nadpis2"/>
        <w:spacing w:after="120"/>
        <w:rPr>
          <w:rFonts w:ascii="Calibri" w:hAnsi="Calibri"/>
          <w:b w:val="0"/>
          <w:color w:val="auto"/>
          <w:sz w:val="24"/>
          <w:szCs w:val="24"/>
        </w:rPr>
      </w:pPr>
      <w:bookmarkStart w:id="15" w:name="_Toc379566729"/>
      <w:r w:rsidRPr="00C80852">
        <w:rPr>
          <w:rFonts w:ascii="Calibri" w:hAnsi="Calibri"/>
          <w:color w:val="auto"/>
          <w:sz w:val="24"/>
          <w:szCs w:val="24"/>
        </w:rPr>
        <w:t>Tabulka č. 11:</w:t>
      </w:r>
      <w:r w:rsidRPr="004F53A7">
        <w:rPr>
          <w:rFonts w:ascii="Calibri" w:hAnsi="Calibri"/>
          <w:b w:val="0"/>
          <w:color w:val="auto"/>
          <w:sz w:val="24"/>
          <w:szCs w:val="24"/>
        </w:rPr>
        <w:t xml:space="preserve"> Analýza výdajů obce Krásné Údolí (v %)</w:t>
      </w:r>
      <w:bookmarkEnd w:id="15"/>
    </w:p>
    <w:tbl>
      <w:tblPr>
        <w:tblW w:w="9863"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3417"/>
        <w:gridCol w:w="1611"/>
        <w:gridCol w:w="1612"/>
        <w:gridCol w:w="1611"/>
        <w:gridCol w:w="1612"/>
      </w:tblGrid>
      <w:tr w:rsidR="004215A0" w:rsidRPr="002C0E33" w:rsidTr="002C0E33">
        <w:trPr>
          <w:trHeight w:val="454"/>
        </w:trPr>
        <w:tc>
          <w:tcPr>
            <w:tcW w:w="3417" w:type="dxa"/>
            <w:tcBorders>
              <w:top w:val="single" w:sz="8" w:space="0" w:color="9BBB59"/>
            </w:tcBorders>
            <w:shd w:val="clear" w:color="auto" w:fill="9BBB59"/>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 </w:t>
            </w:r>
          </w:p>
        </w:tc>
        <w:tc>
          <w:tcPr>
            <w:tcW w:w="1611"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612"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611"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c>
          <w:tcPr>
            <w:tcW w:w="1612"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2013</w:t>
            </w:r>
          </w:p>
        </w:tc>
      </w:tr>
      <w:tr w:rsidR="004215A0" w:rsidRPr="002C0E33" w:rsidTr="002C0E33">
        <w:trPr>
          <w:trHeight w:val="454"/>
        </w:trPr>
        <w:tc>
          <w:tcPr>
            <w:tcW w:w="341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Meziroční růst neinvestičních prostředků v %</w:t>
            </w:r>
          </w:p>
        </w:tc>
        <w:tc>
          <w:tcPr>
            <w:tcW w:w="161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95,34%</w:t>
            </w:r>
          </w:p>
        </w:tc>
        <w:tc>
          <w:tcPr>
            <w:tcW w:w="161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101,17%</w:t>
            </w:r>
          </w:p>
        </w:tc>
        <w:tc>
          <w:tcPr>
            <w:tcW w:w="161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112,01%</w:t>
            </w:r>
          </w:p>
        </w:tc>
        <w:tc>
          <w:tcPr>
            <w:tcW w:w="161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218,96%</w:t>
            </w:r>
          </w:p>
        </w:tc>
      </w:tr>
      <w:tr w:rsidR="004215A0" w:rsidRPr="002C0E33" w:rsidTr="002C0E33">
        <w:trPr>
          <w:trHeight w:val="454"/>
        </w:trPr>
        <w:tc>
          <w:tcPr>
            <w:tcW w:w="3417"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Srovnání neinvestičních a celkových výdajů v %</w:t>
            </w:r>
          </w:p>
        </w:tc>
        <w:tc>
          <w:tcPr>
            <w:tcW w:w="1611"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99,21%</w:t>
            </w:r>
          </w:p>
        </w:tc>
        <w:tc>
          <w:tcPr>
            <w:tcW w:w="161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83,67%</w:t>
            </w:r>
          </w:p>
        </w:tc>
        <w:tc>
          <w:tcPr>
            <w:tcW w:w="1611"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64,22%</w:t>
            </w:r>
          </w:p>
        </w:tc>
        <w:tc>
          <w:tcPr>
            <w:tcW w:w="1612"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80,63%</w:t>
            </w:r>
          </w:p>
        </w:tc>
      </w:tr>
      <w:tr w:rsidR="004215A0" w:rsidRPr="002C0E33" w:rsidTr="002C0E33">
        <w:trPr>
          <w:trHeight w:val="454"/>
        </w:trPr>
        <w:tc>
          <w:tcPr>
            <w:tcW w:w="3417"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Meziroční růst investičních výdajů v %</w:t>
            </w:r>
          </w:p>
        </w:tc>
        <w:tc>
          <w:tcPr>
            <w:tcW w:w="161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5,44%</w:t>
            </w:r>
          </w:p>
        </w:tc>
        <w:tc>
          <w:tcPr>
            <w:tcW w:w="161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2485,16%</w:t>
            </w:r>
          </w:p>
        </w:tc>
        <w:tc>
          <w:tcPr>
            <w:tcW w:w="161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319,68%</w:t>
            </w:r>
          </w:p>
        </w:tc>
        <w:tc>
          <w:tcPr>
            <w:tcW w:w="1612"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94,40%</w:t>
            </w:r>
          </w:p>
        </w:tc>
      </w:tr>
      <w:tr w:rsidR="004215A0" w:rsidRPr="002C0E33" w:rsidTr="002C0E33">
        <w:trPr>
          <w:trHeight w:val="454"/>
        </w:trPr>
        <w:tc>
          <w:tcPr>
            <w:tcW w:w="3417" w:type="dxa"/>
            <w:tcBorders>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Srovnání investičních a celkových výdajů v %</w:t>
            </w:r>
          </w:p>
        </w:tc>
        <w:tc>
          <w:tcPr>
            <w:tcW w:w="1611"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0,79%</w:t>
            </w:r>
          </w:p>
        </w:tc>
        <w:tc>
          <w:tcPr>
            <w:tcW w:w="1612"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16,33%</w:t>
            </w:r>
          </w:p>
        </w:tc>
        <w:tc>
          <w:tcPr>
            <w:tcW w:w="1611"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35,78%</w:t>
            </w:r>
          </w:p>
        </w:tc>
        <w:tc>
          <w:tcPr>
            <w:tcW w:w="1612"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19,37%</w:t>
            </w:r>
          </w:p>
        </w:tc>
      </w:tr>
    </w:tbl>
    <w:p w:rsidR="004215A0" w:rsidRPr="00B16ACA" w:rsidRDefault="004215A0" w:rsidP="00943D20">
      <w:pPr>
        <w:spacing w:after="0" w:line="360" w:lineRule="auto"/>
        <w:jc w:val="both"/>
        <w:rPr>
          <w:sz w:val="18"/>
          <w:szCs w:val="18"/>
        </w:rPr>
      </w:pPr>
      <w:r>
        <w:rPr>
          <w:sz w:val="18"/>
          <w:szCs w:val="18"/>
        </w:rPr>
        <w:t>Zdroj: Vlastní zpracování, Cheb.</w:t>
      </w:r>
    </w:p>
    <w:p w:rsidR="004215A0" w:rsidRPr="00C80852" w:rsidRDefault="004215A0" w:rsidP="00C80852">
      <w:pPr>
        <w:pStyle w:val="Nadpis2"/>
        <w:spacing w:after="120"/>
        <w:rPr>
          <w:rFonts w:ascii="Calibri" w:hAnsi="Calibri"/>
          <w:b w:val="0"/>
          <w:color w:val="auto"/>
          <w:sz w:val="24"/>
          <w:szCs w:val="24"/>
        </w:rPr>
      </w:pPr>
      <w:bookmarkStart w:id="16" w:name="_Toc379566730"/>
      <w:r w:rsidRPr="00C80852">
        <w:rPr>
          <w:rFonts w:ascii="Calibri" w:hAnsi="Calibri"/>
          <w:color w:val="auto"/>
          <w:sz w:val="24"/>
          <w:szCs w:val="24"/>
        </w:rPr>
        <w:t>Tabulka č. 12:</w:t>
      </w:r>
      <w:r w:rsidRPr="00C80852">
        <w:rPr>
          <w:rFonts w:ascii="Calibri" w:hAnsi="Calibri"/>
          <w:b w:val="0"/>
          <w:color w:val="auto"/>
          <w:sz w:val="24"/>
          <w:szCs w:val="24"/>
        </w:rPr>
        <w:t xml:space="preserve"> Analýza výdajů obcí v rámci ČR (v %)</w:t>
      </w:r>
      <w:bookmarkEnd w:id="16"/>
    </w:p>
    <w:tbl>
      <w:tblPr>
        <w:tblW w:w="9889"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4709"/>
        <w:gridCol w:w="1695"/>
        <w:gridCol w:w="1844"/>
        <w:gridCol w:w="1641"/>
      </w:tblGrid>
      <w:tr w:rsidR="004215A0" w:rsidRPr="002C0E33" w:rsidTr="008251CF">
        <w:trPr>
          <w:trHeight w:val="454"/>
        </w:trPr>
        <w:tc>
          <w:tcPr>
            <w:tcW w:w="4709" w:type="dxa"/>
            <w:tcBorders>
              <w:top w:val="single" w:sz="8" w:space="0" w:color="9BBB59"/>
            </w:tcBorders>
            <w:shd w:val="clear" w:color="auto" w:fill="9BBB59"/>
            <w:noWrap/>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 </w:t>
            </w:r>
          </w:p>
        </w:tc>
        <w:tc>
          <w:tcPr>
            <w:tcW w:w="1695"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color w:val="000000"/>
                <w:sz w:val="24"/>
                <w:szCs w:val="24"/>
                <w:lang w:eastAsia="cs-CZ"/>
              </w:rPr>
              <w:t>2010</w:t>
            </w:r>
          </w:p>
        </w:tc>
        <w:tc>
          <w:tcPr>
            <w:tcW w:w="1844"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color w:val="000000"/>
                <w:sz w:val="24"/>
                <w:szCs w:val="24"/>
                <w:lang w:eastAsia="cs-CZ"/>
              </w:rPr>
              <w:t>2011</w:t>
            </w:r>
          </w:p>
        </w:tc>
        <w:tc>
          <w:tcPr>
            <w:tcW w:w="1641"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color w:val="000000"/>
                <w:sz w:val="24"/>
                <w:szCs w:val="24"/>
                <w:lang w:eastAsia="cs-CZ"/>
              </w:rPr>
              <w:t>2012</w:t>
            </w:r>
          </w:p>
        </w:tc>
      </w:tr>
      <w:tr w:rsidR="004215A0" w:rsidRPr="002C0E33" w:rsidTr="008251CF">
        <w:trPr>
          <w:trHeight w:val="454"/>
        </w:trPr>
        <w:tc>
          <w:tcPr>
            <w:tcW w:w="4709"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Meziroční růst neinvestičních prostředků v %</w:t>
            </w:r>
          </w:p>
        </w:tc>
        <w:tc>
          <w:tcPr>
            <w:tcW w:w="1695"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105,45%</w:t>
            </w:r>
          </w:p>
        </w:tc>
        <w:tc>
          <w:tcPr>
            <w:tcW w:w="1844"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97,34%</w:t>
            </w:r>
          </w:p>
        </w:tc>
        <w:tc>
          <w:tcPr>
            <w:tcW w:w="164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86,42%</w:t>
            </w:r>
          </w:p>
        </w:tc>
      </w:tr>
      <w:tr w:rsidR="004215A0" w:rsidRPr="002C0E33" w:rsidTr="008251CF">
        <w:trPr>
          <w:trHeight w:val="454"/>
        </w:trPr>
        <w:tc>
          <w:tcPr>
            <w:tcW w:w="4709"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Srovnání neinvestičních a celkových výdajů v %</w:t>
            </w:r>
          </w:p>
        </w:tc>
        <w:tc>
          <w:tcPr>
            <w:tcW w:w="1695"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69,44%</w:t>
            </w:r>
          </w:p>
        </w:tc>
        <w:tc>
          <w:tcPr>
            <w:tcW w:w="1844"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71,91%</w:t>
            </w:r>
          </w:p>
        </w:tc>
        <w:tc>
          <w:tcPr>
            <w:tcW w:w="1641" w:type="dxa"/>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71,32%</w:t>
            </w:r>
          </w:p>
        </w:tc>
      </w:tr>
      <w:tr w:rsidR="004215A0" w:rsidRPr="002C0E33" w:rsidTr="008251CF">
        <w:trPr>
          <w:trHeight w:val="454"/>
        </w:trPr>
        <w:tc>
          <w:tcPr>
            <w:tcW w:w="4709"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Meziroční růst investičních výdajů v %</w:t>
            </w:r>
          </w:p>
        </w:tc>
        <w:tc>
          <w:tcPr>
            <w:tcW w:w="1695"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96,60%</w:t>
            </w:r>
          </w:p>
        </w:tc>
        <w:tc>
          <w:tcPr>
            <w:tcW w:w="1844"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86,40%</w:t>
            </w:r>
          </w:p>
        </w:tc>
        <w:tc>
          <w:tcPr>
            <w:tcW w:w="1641"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88,95%</w:t>
            </w:r>
          </w:p>
        </w:tc>
      </w:tr>
      <w:tr w:rsidR="004215A0" w:rsidRPr="002C0E33" w:rsidTr="008251CF">
        <w:trPr>
          <w:trHeight w:val="454"/>
        </w:trPr>
        <w:tc>
          <w:tcPr>
            <w:tcW w:w="4709" w:type="dxa"/>
            <w:tcBorders>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Srovnání investičních a celkových výdajů v %</w:t>
            </w:r>
          </w:p>
        </w:tc>
        <w:tc>
          <w:tcPr>
            <w:tcW w:w="1695"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30,56%</w:t>
            </w:r>
          </w:p>
        </w:tc>
        <w:tc>
          <w:tcPr>
            <w:tcW w:w="1844"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28,09%</w:t>
            </w:r>
          </w:p>
        </w:tc>
        <w:tc>
          <w:tcPr>
            <w:tcW w:w="1641" w:type="dxa"/>
            <w:tcBorders>
              <w:bottom w:val="single" w:sz="8" w:space="0" w:color="9BBB59"/>
            </w:tcBorders>
            <w:noWrap/>
            <w:vAlign w:val="center"/>
          </w:tcPr>
          <w:p w:rsidR="004215A0" w:rsidRPr="002C0E33" w:rsidRDefault="004215A0" w:rsidP="002C0E33">
            <w:pPr>
              <w:spacing w:after="0" w:line="240" w:lineRule="auto"/>
              <w:jc w:val="right"/>
              <w:rPr>
                <w:rFonts w:ascii="Times New Roman" w:hAnsi="Times New Roman"/>
                <w:sz w:val="24"/>
                <w:szCs w:val="24"/>
                <w:lang w:eastAsia="cs-CZ"/>
              </w:rPr>
            </w:pPr>
            <w:r w:rsidRPr="002C0E33">
              <w:rPr>
                <w:rFonts w:ascii="Times New Roman" w:hAnsi="Times New Roman"/>
                <w:sz w:val="24"/>
                <w:szCs w:val="24"/>
                <w:lang w:eastAsia="cs-CZ"/>
              </w:rPr>
              <w:t>28,68%</w:t>
            </w:r>
          </w:p>
        </w:tc>
      </w:tr>
    </w:tbl>
    <w:p w:rsidR="004215A0" w:rsidRPr="00C80852" w:rsidRDefault="004215A0" w:rsidP="00C80852">
      <w:pPr>
        <w:spacing w:after="0" w:line="240" w:lineRule="auto"/>
        <w:jc w:val="both"/>
        <w:rPr>
          <w:sz w:val="18"/>
          <w:szCs w:val="18"/>
        </w:rPr>
      </w:pPr>
      <w:r>
        <w:rPr>
          <w:sz w:val="18"/>
          <w:szCs w:val="18"/>
        </w:rPr>
        <w:t>Zdroj: Vlastní zpracování, Cheb.</w:t>
      </w:r>
    </w:p>
    <w:p w:rsidR="004215A0" w:rsidRDefault="004215A0" w:rsidP="00C80852">
      <w:pPr>
        <w:spacing w:before="120" w:after="0" w:line="360" w:lineRule="auto"/>
        <w:jc w:val="both"/>
        <w:rPr>
          <w:sz w:val="24"/>
          <w:szCs w:val="24"/>
        </w:rPr>
      </w:pPr>
      <w:r>
        <w:rPr>
          <w:sz w:val="24"/>
          <w:szCs w:val="24"/>
        </w:rPr>
        <w:t>Tabulka č. 11 a 12 analyzuje meziroční změny ve výdajové struktuře obecního účtu. Z hlediska celkových neinvestičních výdajů byla obec Krásné Údolí ve sledovaných letech 2010 a 2011 Krásné nad celorepublikovým průměrem. V roce 2012 se obec v rámci celkových neinvestičních výdajů dostala pod celorepublikový průměr.</w:t>
      </w:r>
    </w:p>
    <w:p w:rsidR="004215A0" w:rsidRPr="00B16ACA" w:rsidRDefault="004215A0" w:rsidP="00C80852">
      <w:pPr>
        <w:spacing w:before="120" w:after="0" w:line="360" w:lineRule="auto"/>
        <w:jc w:val="both"/>
        <w:rPr>
          <w:sz w:val="24"/>
          <w:szCs w:val="24"/>
        </w:rPr>
      </w:pPr>
    </w:p>
    <w:p w:rsidR="004215A0" w:rsidRPr="00C80852" w:rsidRDefault="004215A0" w:rsidP="00C80852">
      <w:pPr>
        <w:pStyle w:val="Nadpis2"/>
        <w:spacing w:before="0" w:after="120"/>
        <w:rPr>
          <w:rFonts w:ascii="Calibri" w:hAnsi="Calibri"/>
          <w:b w:val="0"/>
          <w:color w:val="auto"/>
          <w:sz w:val="24"/>
          <w:szCs w:val="24"/>
        </w:rPr>
      </w:pPr>
      <w:bookmarkStart w:id="17" w:name="_Toc379566731"/>
      <w:r w:rsidRPr="00C80852">
        <w:rPr>
          <w:rFonts w:ascii="Calibri" w:hAnsi="Calibri"/>
          <w:color w:val="auto"/>
          <w:sz w:val="24"/>
          <w:szCs w:val="24"/>
        </w:rPr>
        <w:t>Tabulka č. 13:</w:t>
      </w:r>
      <w:r w:rsidRPr="00C80852">
        <w:rPr>
          <w:rFonts w:ascii="Calibri" w:hAnsi="Calibri"/>
          <w:b w:val="0"/>
          <w:color w:val="auto"/>
          <w:sz w:val="24"/>
          <w:szCs w:val="24"/>
        </w:rPr>
        <w:t xml:space="preserve"> Analýza zadlužení obce Krásné Údolí (v %)</w:t>
      </w:r>
      <w:bookmarkEnd w:id="17"/>
    </w:p>
    <w:tbl>
      <w:tblPr>
        <w:tblW w:w="9923" w:type="dxa"/>
        <w:tblBorders>
          <w:top w:val="single" w:sz="8" w:space="0" w:color="9BBB59"/>
          <w:left w:val="single" w:sz="8" w:space="0" w:color="9BBB59"/>
          <w:bottom w:val="single" w:sz="8" w:space="0" w:color="9BBB59"/>
          <w:right w:val="single" w:sz="8" w:space="0" w:color="9BBB59"/>
        </w:tblBorders>
        <w:tblLayout w:type="fixed"/>
        <w:tblLook w:val="00A0" w:firstRow="1" w:lastRow="0" w:firstColumn="1" w:lastColumn="0" w:noHBand="0" w:noVBand="0"/>
      </w:tblPr>
      <w:tblGrid>
        <w:gridCol w:w="3626"/>
        <w:gridCol w:w="1574"/>
        <w:gridCol w:w="1574"/>
        <w:gridCol w:w="1574"/>
        <w:gridCol w:w="1575"/>
      </w:tblGrid>
      <w:tr w:rsidR="004215A0" w:rsidRPr="002C0E33" w:rsidTr="002C0E33">
        <w:trPr>
          <w:trHeight w:val="454"/>
        </w:trPr>
        <w:tc>
          <w:tcPr>
            <w:tcW w:w="3626" w:type="dxa"/>
            <w:tcBorders>
              <w:top w:val="single" w:sz="8" w:space="0" w:color="9BBB59"/>
            </w:tcBorders>
            <w:shd w:val="clear" w:color="auto" w:fill="9BBB59"/>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 </w:t>
            </w:r>
          </w:p>
        </w:tc>
        <w:tc>
          <w:tcPr>
            <w:tcW w:w="1574"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2010</w:t>
            </w:r>
          </w:p>
        </w:tc>
        <w:tc>
          <w:tcPr>
            <w:tcW w:w="1574"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2011</w:t>
            </w:r>
          </w:p>
        </w:tc>
        <w:tc>
          <w:tcPr>
            <w:tcW w:w="1574"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2012</w:t>
            </w:r>
          </w:p>
        </w:tc>
        <w:tc>
          <w:tcPr>
            <w:tcW w:w="1575" w:type="dxa"/>
            <w:tcBorders>
              <w:top w:val="single" w:sz="8" w:space="0" w:color="9BBB59"/>
            </w:tcBorders>
            <w:shd w:val="clear" w:color="auto" w:fill="9BBB59"/>
            <w:noWrap/>
            <w:vAlign w:val="center"/>
          </w:tcPr>
          <w:p w:rsidR="004215A0" w:rsidRPr="002C0E33" w:rsidRDefault="004215A0" w:rsidP="002C0E33">
            <w:pPr>
              <w:spacing w:after="0" w:line="240" w:lineRule="auto"/>
              <w:jc w:val="right"/>
              <w:rPr>
                <w:rFonts w:ascii="Times New Roman" w:hAnsi="Times New Roman"/>
                <w:b/>
                <w:bCs/>
                <w:color w:val="000000"/>
                <w:sz w:val="24"/>
                <w:szCs w:val="24"/>
                <w:lang w:eastAsia="cs-CZ"/>
              </w:rPr>
            </w:pPr>
            <w:r w:rsidRPr="002C0E33">
              <w:rPr>
                <w:rFonts w:ascii="Times New Roman" w:hAnsi="Times New Roman"/>
                <w:b/>
                <w:bCs/>
                <w:color w:val="000000"/>
                <w:sz w:val="24"/>
                <w:szCs w:val="24"/>
                <w:lang w:eastAsia="cs-CZ"/>
              </w:rPr>
              <w:t>2013</w:t>
            </w:r>
          </w:p>
        </w:tc>
      </w:tr>
      <w:tr w:rsidR="004215A0" w:rsidRPr="002C0E33" w:rsidTr="002C0E33">
        <w:trPr>
          <w:trHeight w:val="454"/>
        </w:trPr>
        <w:tc>
          <w:tcPr>
            <w:tcW w:w="3626"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Výše celkového dluhu v Kč na jednoho obyvatele</w:t>
            </w:r>
          </w:p>
        </w:tc>
        <w:tc>
          <w:tcPr>
            <w:tcW w:w="1574"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c>
          <w:tcPr>
            <w:tcW w:w="1574"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c>
          <w:tcPr>
            <w:tcW w:w="1574"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c>
          <w:tcPr>
            <w:tcW w:w="1575"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r>
      <w:tr w:rsidR="004215A0" w:rsidRPr="002C0E33" w:rsidTr="002C0E33">
        <w:trPr>
          <w:trHeight w:val="454"/>
        </w:trPr>
        <w:tc>
          <w:tcPr>
            <w:tcW w:w="3626" w:type="dxa"/>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Zadluženost I v %</w:t>
            </w:r>
          </w:p>
        </w:tc>
        <w:tc>
          <w:tcPr>
            <w:tcW w:w="1574"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c>
          <w:tcPr>
            <w:tcW w:w="1574"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c>
          <w:tcPr>
            <w:tcW w:w="1574"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c>
          <w:tcPr>
            <w:tcW w:w="1575" w:type="dxa"/>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r>
      <w:tr w:rsidR="004215A0" w:rsidRPr="002C0E33" w:rsidTr="002C0E33">
        <w:trPr>
          <w:trHeight w:val="454"/>
        </w:trPr>
        <w:tc>
          <w:tcPr>
            <w:tcW w:w="3626" w:type="dxa"/>
            <w:tcBorders>
              <w:top w:val="single" w:sz="8" w:space="0" w:color="9BBB59"/>
              <w:bottom w:val="single" w:sz="8" w:space="0" w:color="9BBB59"/>
            </w:tcBorders>
            <w:noWrap/>
            <w:vAlign w:val="center"/>
          </w:tcPr>
          <w:p w:rsidR="004215A0" w:rsidRPr="002C0E33" w:rsidRDefault="004215A0" w:rsidP="002C0E33">
            <w:pPr>
              <w:spacing w:after="0" w:line="240" w:lineRule="auto"/>
              <w:rPr>
                <w:rFonts w:ascii="Times New Roman" w:hAnsi="Times New Roman"/>
                <w:b/>
                <w:bCs/>
                <w:color w:val="000000"/>
                <w:sz w:val="24"/>
                <w:szCs w:val="24"/>
                <w:lang w:eastAsia="cs-CZ"/>
              </w:rPr>
            </w:pPr>
            <w:r w:rsidRPr="002C0E33">
              <w:rPr>
                <w:rFonts w:ascii="Times New Roman" w:hAnsi="Times New Roman"/>
                <w:bCs/>
                <w:color w:val="000000"/>
                <w:sz w:val="24"/>
                <w:szCs w:val="24"/>
                <w:lang w:eastAsia="cs-CZ"/>
              </w:rPr>
              <w:t>Zadluženost II V %</w:t>
            </w:r>
          </w:p>
        </w:tc>
        <w:tc>
          <w:tcPr>
            <w:tcW w:w="1574"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c>
          <w:tcPr>
            <w:tcW w:w="1574"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c>
          <w:tcPr>
            <w:tcW w:w="1574"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c>
          <w:tcPr>
            <w:tcW w:w="1575" w:type="dxa"/>
            <w:tcBorders>
              <w:top w:val="single" w:sz="8" w:space="0" w:color="9BBB59"/>
              <w:bottom w:val="single" w:sz="8" w:space="0" w:color="9BBB59"/>
            </w:tcBorders>
            <w:noWrap/>
            <w:vAlign w:val="center"/>
          </w:tcPr>
          <w:p w:rsidR="004215A0" w:rsidRPr="002C0E33" w:rsidRDefault="004215A0" w:rsidP="002C0E33">
            <w:pPr>
              <w:spacing w:after="0" w:line="240" w:lineRule="auto"/>
              <w:jc w:val="right"/>
              <w:rPr>
                <w:rFonts w:ascii="Times New Roman" w:hAnsi="Times New Roman"/>
                <w:color w:val="000000"/>
                <w:sz w:val="24"/>
                <w:szCs w:val="24"/>
                <w:lang w:eastAsia="cs-CZ"/>
              </w:rPr>
            </w:pPr>
            <w:r w:rsidRPr="002C0E33">
              <w:rPr>
                <w:rFonts w:ascii="Times New Roman" w:hAnsi="Times New Roman"/>
                <w:color w:val="000000"/>
                <w:sz w:val="24"/>
                <w:szCs w:val="24"/>
                <w:lang w:eastAsia="cs-CZ"/>
              </w:rPr>
              <w:t>0</w:t>
            </w:r>
          </w:p>
        </w:tc>
      </w:tr>
    </w:tbl>
    <w:p w:rsidR="004215A0" w:rsidRPr="00BB63B2" w:rsidRDefault="004215A0" w:rsidP="00943D20">
      <w:pPr>
        <w:spacing w:after="0" w:line="360" w:lineRule="auto"/>
        <w:jc w:val="both"/>
        <w:rPr>
          <w:sz w:val="18"/>
          <w:szCs w:val="18"/>
        </w:rPr>
      </w:pPr>
      <w:r>
        <w:rPr>
          <w:sz w:val="18"/>
          <w:szCs w:val="18"/>
        </w:rPr>
        <w:t>Zdroj: Vlastní zpracování, Cheb a materiály poskytnuté od starosty obce.</w:t>
      </w:r>
    </w:p>
    <w:p w:rsidR="004215A0" w:rsidRDefault="004215A0" w:rsidP="00C80852">
      <w:pPr>
        <w:spacing w:before="120" w:after="0" w:line="360" w:lineRule="auto"/>
        <w:jc w:val="both"/>
        <w:rPr>
          <w:sz w:val="24"/>
          <w:szCs w:val="24"/>
        </w:rPr>
      </w:pPr>
      <w:r>
        <w:rPr>
          <w:sz w:val="24"/>
          <w:szCs w:val="24"/>
        </w:rPr>
        <w:t>Z tabulky č. 13 vyplývá, že zadlužení obce je ve všech sledovaných letech nulové. Starosta Krásného Údolí nám v rozhovoru doslova řekl: „Město Krásné Údolí již od roku 2002 nedisponuje žádným dluhem, úvěrem ani půjčkou. Vždy jsem se snažil dohlížet na rozpočet tak, abychom si nemuseli půjčovat a pokud hospodaření roku skončilo v „červených číslech“, řešil jsem tuto situaci dofinancováním z vlastních zdrojů např. z výsledku hospodaření předešlých let.“</w:t>
      </w:r>
    </w:p>
    <w:p w:rsidR="004215A0" w:rsidRDefault="004215A0" w:rsidP="00C80852">
      <w:pPr>
        <w:spacing w:before="120" w:after="0" w:line="360" w:lineRule="auto"/>
        <w:jc w:val="both"/>
        <w:rPr>
          <w:sz w:val="24"/>
          <w:szCs w:val="24"/>
        </w:rPr>
      </w:pPr>
    </w:p>
    <w:p w:rsidR="004215A0" w:rsidRPr="00497079" w:rsidRDefault="004215A0" w:rsidP="00C80852">
      <w:pPr>
        <w:pStyle w:val="Nzev"/>
        <w:rPr>
          <w:rFonts w:ascii="Calibri" w:hAnsi="Calibri"/>
          <w:color w:val="auto"/>
        </w:rPr>
      </w:pPr>
      <w:r>
        <w:rPr>
          <w:rFonts w:ascii="Calibri" w:hAnsi="Calibri"/>
          <w:color w:val="auto"/>
        </w:rPr>
        <w:t>Závěr</w:t>
      </w:r>
    </w:p>
    <w:p w:rsidR="004215A0" w:rsidRPr="00C80852" w:rsidRDefault="004215A0" w:rsidP="00D62CC0">
      <w:pPr>
        <w:spacing w:after="0" w:line="360" w:lineRule="auto"/>
        <w:jc w:val="both"/>
        <w:rPr>
          <w:sz w:val="24"/>
          <w:szCs w:val="24"/>
        </w:rPr>
      </w:pPr>
      <w:r>
        <w:rPr>
          <w:sz w:val="24"/>
          <w:szCs w:val="24"/>
        </w:rPr>
        <w:t>Předmětem této seminární práce bylo posoudit finanční situaci vybrané obce, kterou si vyhotovuje banka, když se rozhoduje, zda obci poskytnout úvěr či nikoliv. Analyzovanou obcí byla obec Krásné Údolí, která se dle provedených analýz ukázala jako finančně stabilní a rovněž již několik let nezadlužená. V rámci zkoumaných let rovněž dokázala každý rok navyšovat své celkové příjmy zejména formou různých dotačních programů, což se promítlo v investiční činnosti obce, jak bylo vidět ve výdajové struktuře prováděných analýz. Obec byla dále srovnávána s celorepublikovým průměrem a lze říci, že i v tomto ohledu je na tom obec poměrně dobře, uvážíme</w:t>
      </w:r>
      <w:r>
        <w:rPr>
          <w:sz w:val="24"/>
          <w:szCs w:val="24"/>
        </w:rPr>
        <w:noBreakHyphen/>
        <w:t>li rostoucí celkové příjmy na jednoho obyvatele obce. Udrží-li obec tento trend i v budoucnu, můžeme předpokládat další rozšíření investiční činnosti v obci doprovázené nezadlužeností obce.</w:t>
      </w:r>
    </w:p>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Default="004215A0" w:rsidP="0064073B"/>
    <w:p w:rsidR="004215A0" w:rsidRPr="00497079" w:rsidRDefault="004215A0" w:rsidP="002E4A29">
      <w:pPr>
        <w:pStyle w:val="Nzev"/>
        <w:rPr>
          <w:rFonts w:ascii="Calibri" w:hAnsi="Calibri"/>
          <w:color w:val="auto"/>
        </w:rPr>
      </w:pPr>
      <w:r>
        <w:rPr>
          <w:rFonts w:ascii="Calibri" w:hAnsi="Calibri"/>
          <w:color w:val="auto"/>
        </w:rPr>
        <w:t>Seznam tabulek</w:t>
      </w:r>
    </w:p>
    <w:p w:rsidR="004215A0" w:rsidRDefault="004215A0">
      <w:pPr>
        <w:pStyle w:val="Seznamobrzk"/>
        <w:tabs>
          <w:tab w:val="right" w:leader="dot" w:pos="9402"/>
        </w:tabs>
        <w:rPr>
          <w:rFonts w:ascii="Times New Roman" w:hAnsi="Times New Roman"/>
          <w:noProof/>
          <w:sz w:val="24"/>
          <w:szCs w:val="24"/>
          <w:lang w:eastAsia="cs-CZ"/>
        </w:rPr>
      </w:pPr>
      <w:r>
        <w:rPr>
          <w:sz w:val="24"/>
          <w:szCs w:val="24"/>
        </w:rPr>
        <w:fldChar w:fldCharType="begin"/>
      </w:r>
      <w:r>
        <w:rPr>
          <w:sz w:val="24"/>
          <w:szCs w:val="24"/>
        </w:rPr>
        <w:instrText xml:space="preserve"> TOC \h \z \t "Nadpis 2" \c </w:instrText>
      </w:r>
      <w:r>
        <w:rPr>
          <w:sz w:val="24"/>
          <w:szCs w:val="24"/>
        </w:rPr>
        <w:fldChar w:fldCharType="separate"/>
      </w:r>
      <w:hyperlink w:anchor="_Toc379566719" w:history="1">
        <w:r w:rsidRPr="006B362F">
          <w:rPr>
            <w:rStyle w:val="Hypertextovodkaz"/>
            <w:noProof/>
            <w:shd w:val="clear" w:color="auto" w:fill="FFFFFF"/>
          </w:rPr>
          <w:t>Tabulka č. 1: Počet obyvatel obce Krásné Údolí k 1.1. daného roku (v osobách)</w:t>
        </w:r>
        <w:r>
          <w:rPr>
            <w:noProof/>
            <w:webHidden/>
          </w:rPr>
          <w:tab/>
        </w:r>
        <w:r>
          <w:rPr>
            <w:noProof/>
            <w:webHidden/>
          </w:rPr>
          <w:fldChar w:fldCharType="begin"/>
        </w:r>
        <w:r>
          <w:rPr>
            <w:noProof/>
            <w:webHidden/>
          </w:rPr>
          <w:instrText xml:space="preserve"> PAGEREF _Toc379566719 \h </w:instrText>
        </w:r>
        <w:r>
          <w:rPr>
            <w:noProof/>
            <w:webHidden/>
          </w:rPr>
        </w:r>
        <w:r>
          <w:rPr>
            <w:noProof/>
            <w:webHidden/>
          </w:rPr>
          <w:fldChar w:fldCharType="separate"/>
        </w:r>
        <w:r>
          <w:rPr>
            <w:noProof/>
            <w:webHidden/>
          </w:rPr>
          <w:t>4</w:t>
        </w:r>
        <w:r>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0" w:history="1">
        <w:r w:rsidR="004215A0" w:rsidRPr="006B362F">
          <w:rPr>
            <w:rStyle w:val="Hypertextovodkaz"/>
            <w:noProof/>
            <w:shd w:val="clear" w:color="auto" w:fill="FFFFFF"/>
          </w:rPr>
          <w:t>Tabulka č. 2: Počet obyvatel ČR k danému roku (v osobách)</w:t>
        </w:r>
        <w:r w:rsidR="004215A0">
          <w:rPr>
            <w:noProof/>
            <w:webHidden/>
          </w:rPr>
          <w:tab/>
        </w:r>
        <w:r w:rsidR="004215A0">
          <w:rPr>
            <w:noProof/>
            <w:webHidden/>
          </w:rPr>
          <w:fldChar w:fldCharType="begin"/>
        </w:r>
        <w:r w:rsidR="004215A0">
          <w:rPr>
            <w:noProof/>
            <w:webHidden/>
          </w:rPr>
          <w:instrText xml:space="preserve"> PAGEREF _Toc379566720 \h </w:instrText>
        </w:r>
        <w:r w:rsidR="004215A0">
          <w:rPr>
            <w:noProof/>
            <w:webHidden/>
          </w:rPr>
        </w:r>
        <w:r w:rsidR="004215A0">
          <w:rPr>
            <w:noProof/>
            <w:webHidden/>
          </w:rPr>
          <w:fldChar w:fldCharType="separate"/>
        </w:r>
        <w:r w:rsidR="004215A0">
          <w:rPr>
            <w:noProof/>
            <w:webHidden/>
          </w:rPr>
          <w:t>4</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1" w:history="1">
        <w:r w:rsidR="004215A0" w:rsidRPr="006B362F">
          <w:rPr>
            <w:rStyle w:val="Hypertextovodkaz"/>
            <w:noProof/>
            <w:shd w:val="clear" w:color="auto" w:fill="FFFFFF"/>
          </w:rPr>
          <w:t>Tabulka č. 3: Finance obce Krásné Údolí k 31.12. daného roku (v tis. Kč)</w:t>
        </w:r>
        <w:r w:rsidR="004215A0">
          <w:rPr>
            <w:noProof/>
            <w:webHidden/>
          </w:rPr>
          <w:tab/>
        </w:r>
        <w:r w:rsidR="004215A0">
          <w:rPr>
            <w:noProof/>
            <w:webHidden/>
          </w:rPr>
          <w:fldChar w:fldCharType="begin"/>
        </w:r>
        <w:r w:rsidR="004215A0">
          <w:rPr>
            <w:noProof/>
            <w:webHidden/>
          </w:rPr>
          <w:instrText xml:space="preserve"> PAGEREF _Toc379566721 \h </w:instrText>
        </w:r>
        <w:r w:rsidR="004215A0">
          <w:rPr>
            <w:noProof/>
            <w:webHidden/>
          </w:rPr>
        </w:r>
        <w:r w:rsidR="004215A0">
          <w:rPr>
            <w:noProof/>
            <w:webHidden/>
          </w:rPr>
          <w:fldChar w:fldCharType="separate"/>
        </w:r>
        <w:r w:rsidR="004215A0">
          <w:rPr>
            <w:noProof/>
            <w:webHidden/>
          </w:rPr>
          <w:t>5</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2" w:history="1">
        <w:r w:rsidR="004215A0" w:rsidRPr="006B362F">
          <w:rPr>
            <w:rStyle w:val="Hypertextovodkaz"/>
            <w:noProof/>
            <w:shd w:val="clear" w:color="auto" w:fill="FFFFFF"/>
          </w:rPr>
          <w:t>Tabulka č. 4: Finance obcí ČR za daný rok (v tis. Kč)</w:t>
        </w:r>
        <w:r w:rsidR="004215A0">
          <w:rPr>
            <w:noProof/>
            <w:webHidden/>
          </w:rPr>
          <w:tab/>
        </w:r>
        <w:r w:rsidR="004215A0">
          <w:rPr>
            <w:noProof/>
            <w:webHidden/>
          </w:rPr>
          <w:fldChar w:fldCharType="begin"/>
        </w:r>
        <w:r w:rsidR="004215A0">
          <w:rPr>
            <w:noProof/>
            <w:webHidden/>
          </w:rPr>
          <w:instrText xml:space="preserve"> PAGEREF _Toc379566722 \h </w:instrText>
        </w:r>
        <w:r w:rsidR="004215A0">
          <w:rPr>
            <w:noProof/>
            <w:webHidden/>
          </w:rPr>
        </w:r>
        <w:r w:rsidR="004215A0">
          <w:rPr>
            <w:noProof/>
            <w:webHidden/>
          </w:rPr>
          <w:fldChar w:fldCharType="separate"/>
        </w:r>
        <w:r w:rsidR="004215A0">
          <w:rPr>
            <w:noProof/>
            <w:webHidden/>
          </w:rPr>
          <w:t>6</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3" w:history="1">
        <w:r w:rsidR="004215A0" w:rsidRPr="006B362F">
          <w:rPr>
            <w:rStyle w:val="Hypertextovodkaz"/>
            <w:noProof/>
            <w:shd w:val="clear" w:color="auto" w:fill="FFFFFF"/>
          </w:rPr>
          <w:t>Tabulka č. 5: Příjmy a výdaje obce Krásné Údolí na obyvatele k 31.12. daného roku (v tis. Kč)</w:t>
        </w:r>
        <w:r w:rsidR="004215A0">
          <w:rPr>
            <w:noProof/>
            <w:webHidden/>
          </w:rPr>
          <w:tab/>
        </w:r>
        <w:r w:rsidR="004215A0">
          <w:rPr>
            <w:noProof/>
            <w:webHidden/>
          </w:rPr>
          <w:fldChar w:fldCharType="begin"/>
        </w:r>
        <w:r w:rsidR="004215A0">
          <w:rPr>
            <w:noProof/>
            <w:webHidden/>
          </w:rPr>
          <w:instrText xml:space="preserve"> PAGEREF _Toc379566723 \h </w:instrText>
        </w:r>
        <w:r w:rsidR="004215A0">
          <w:rPr>
            <w:noProof/>
            <w:webHidden/>
          </w:rPr>
        </w:r>
        <w:r w:rsidR="004215A0">
          <w:rPr>
            <w:noProof/>
            <w:webHidden/>
          </w:rPr>
          <w:fldChar w:fldCharType="separate"/>
        </w:r>
        <w:r w:rsidR="004215A0">
          <w:rPr>
            <w:noProof/>
            <w:webHidden/>
          </w:rPr>
          <w:t>7</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4" w:history="1">
        <w:r w:rsidR="004215A0" w:rsidRPr="006B362F">
          <w:rPr>
            <w:rStyle w:val="Hypertextovodkaz"/>
            <w:noProof/>
          </w:rPr>
          <w:t>Tabulka č. 6: Finance obcí ČR na obyvatele (v tis. Kč)</w:t>
        </w:r>
        <w:r w:rsidR="004215A0">
          <w:rPr>
            <w:noProof/>
            <w:webHidden/>
          </w:rPr>
          <w:tab/>
        </w:r>
        <w:r w:rsidR="004215A0">
          <w:rPr>
            <w:noProof/>
            <w:webHidden/>
          </w:rPr>
          <w:fldChar w:fldCharType="begin"/>
        </w:r>
        <w:r w:rsidR="004215A0">
          <w:rPr>
            <w:noProof/>
            <w:webHidden/>
          </w:rPr>
          <w:instrText xml:space="preserve"> PAGEREF _Toc379566724 \h </w:instrText>
        </w:r>
        <w:r w:rsidR="004215A0">
          <w:rPr>
            <w:noProof/>
            <w:webHidden/>
          </w:rPr>
        </w:r>
        <w:r w:rsidR="004215A0">
          <w:rPr>
            <w:noProof/>
            <w:webHidden/>
          </w:rPr>
          <w:fldChar w:fldCharType="separate"/>
        </w:r>
        <w:r w:rsidR="004215A0">
          <w:rPr>
            <w:noProof/>
            <w:webHidden/>
          </w:rPr>
          <w:t>8</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5" w:history="1">
        <w:r w:rsidR="004215A0" w:rsidRPr="006B362F">
          <w:rPr>
            <w:rStyle w:val="Hypertextovodkaz"/>
            <w:noProof/>
          </w:rPr>
          <w:t>Tabulka č. 7: Finanční úspora obce Krásné Údolí (v %)</w:t>
        </w:r>
        <w:r w:rsidR="004215A0">
          <w:rPr>
            <w:noProof/>
            <w:webHidden/>
          </w:rPr>
          <w:tab/>
        </w:r>
        <w:r w:rsidR="004215A0">
          <w:rPr>
            <w:noProof/>
            <w:webHidden/>
          </w:rPr>
          <w:fldChar w:fldCharType="begin"/>
        </w:r>
        <w:r w:rsidR="004215A0">
          <w:rPr>
            <w:noProof/>
            <w:webHidden/>
          </w:rPr>
          <w:instrText xml:space="preserve"> PAGEREF _Toc379566725 \h </w:instrText>
        </w:r>
        <w:r w:rsidR="004215A0">
          <w:rPr>
            <w:noProof/>
            <w:webHidden/>
          </w:rPr>
        </w:r>
        <w:r w:rsidR="004215A0">
          <w:rPr>
            <w:noProof/>
            <w:webHidden/>
          </w:rPr>
          <w:fldChar w:fldCharType="separate"/>
        </w:r>
        <w:r w:rsidR="004215A0">
          <w:rPr>
            <w:noProof/>
            <w:webHidden/>
          </w:rPr>
          <w:t>8</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6" w:history="1">
        <w:r w:rsidR="004215A0" w:rsidRPr="006B362F">
          <w:rPr>
            <w:rStyle w:val="Hypertextovodkaz"/>
            <w:noProof/>
          </w:rPr>
          <w:t>Tabulka č. 8: Finanční úspora obcí v rámci ČR (v %)</w:t>
        </w:r>
        <w:r w:rsidR="004215A0">
          <w:rPr>
            <w:noProof/>
            <w:webHidden/>
          </w:rPr>
          <w:tab/>
        </w:r>
        <w:r w:rsidR="004215A0">
          <w:rPr>
            <w:noProof/>
            <w:webHidden/>
          </w:rPr>
          <w:fldChar w:fldCharType="begin"/>
        </w:r>
        <w:r w:rsidR="004215A0">
          <w:rPr>
            <w:noProof/>
            <w:webHidden/>
          </w:rPr>
          <w:instrText xml:space="preserve"> PAGEREF _Toc379566726 \h </w:instrText>
        </w:r>
        <w:r w:rsidR="004215A0">
          <w:rPr>
            <w:noProof/>
            <w:webHidden/>
          </w:rPr>
        </w:r>
        <w:r w:rsidR="004215A0">
          <w:rPr>
            <w:noProof/>
            <w:webHidden/>
          </w:rPr>
          <w:fldChar w:fldCharType="separate"/>
        </w:r>
        <w:r w:rsidR="004215A0">
          <w:rPr>
            <w:noProof/>
            <w:webHidden/>
          </w:rPr>
          <w:t>9</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7" w:history="1">
        <w:r w:rsidR="004215A0" w:rsidRPr="006B362F">
          <w:rPr>
            <w:rStyle w:val="Hypertextovodkaz"/>
            <w:noProof/>
          </w:rPr>
          <w:t>Tabulka č. 9: Analýza příjmů obce Krásné Údolí (v %)</w:t>
        </w:r>
        <w:r w:rsidR="004215A0">
          <w:rPr>
            <w:noProof/>
            <w:webHidden/>
          </w:rPr>
          <w:tab/>
        </w:r>
        <w:r w:rsidR="004215A0">
          <w:rPr>
            <w:noProof/>
            <w:webHidden/>
          </w:rPr>
          <w:fldChar w:fldCharType="begin"/>
        </w:r>
        <w:r w:rsidR="004215A0">
          <w:rPr>
            <w:noProof/>
            <w:webHidden/>
          </w:rPr>
          <w:instrText xml:space="preserve"> PAGEREF _Toc379566727 \h </w:instrText>
        </w:r>
        <w:r w:rsidR="004215A0">
          <w:rPr>
            <w:noProof/>
            <w:webHidden/>
          </w:rPr>
        </w:r>
        <w:r w:rsidR="004215A0">
          <w:rPr>
            <w:noProof/>
            <w:webHidden/>
          </w:rPr>
          <w:fldChar w:fldCharType="separate"/>
        </w:r>
        <w:r w:rsidR="004215A0">
          <w:rPr>
            <w:noProof/>
            <w:webHidden/>
          </w:rPr>
          <w:t>9</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8" w:history="1">
        <w:r w:rsidR="004215A0" w:rsidRPr="006B362F">
          <w:rPr>
            <w:rStyle w:val="Hypertextovodkaz"/>
            <w:noProof/>
          </w:rPr>
          <w:t>Tabulka č. 10: Analýza příjmů obcí v rámci ČR (v %)</w:t>
        </w:r>
        <w:r w:rsidR="004215A0">
          <w:rPr>
            <w:noProof/>
            <w:webHidden/>
          </w:rPr>
          <w:tab/>
        </w:r>
        <w:r w:rsidR="004215A0">
          <w:rPr>
            <w:noProof/>
            <w:webHidden/>
          </w:rPr>
          <w:fldChar w:fldCharType="begin"/>
        </w:r>
        <w:r w:rsidR="004215A0">
          <w:rPr>
            <w:noProof/>
            <w:webHidden/>
          </w:rPr>
          <w:instrText xml:space="preserve"> PAGEREF _Toc379566728 \h </w:instrText>
        </w:r>
        <w:r w:rsidR="004215A0">
          <w:rPr>
            <w:noProof/>
            <w:webHidden/>
          </w:rPr>
        </w:r>
        <w:r w:rsidR="004215A0">
          <w:rPr>
            <w:noProof/>
            <w:webHidden/>
          </w:rPr>
          <w:fldChar w:fldCharType="separate"/>
        </w:r>
        <w:r w:rsidR="004215A0">
          <w:rPr>
            <w:noProof/>
            <w:webHidden/>
          </w:rPr>
          <w:t>9</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29" w:history="1">
        <w:r w:rsidR="004215A0" w:rsidRPr="006B362F">
          <w:rPr>
            <w:rStyle w:val="Hypertextovodkaz"/>
            <w:noProof/>
          </w:rPr>
          <w:t>Tabulka č. 11: Analýza výdajů obce Krásné Údolí (v %)</w:t>
        </w:r>
        <w:r w:rsidR="004215A0">
          <w:rPr>
            <w:noProof/>
            <w:webHidden/>
          </w:rPr>
          <w:tab/>
        </w:r>
        <w:r w:rsidR="004215A0">
          <w:rPr>
            <w:noProof/>
            <w:webHidden/>
          </w:rPr>
          <w:fldChar w:fldCharType="begin"/>
        </w:r>
        <w:r w:rsidR="004215A0">
          <w:rPr>
            <w:noProof/>
            <w:webHidden/>
          </w:rPr>
          <w:instrText xml:space="preserve"> PAGEREF _Toc379566729 \h </w:instrText>
        </w:r>
        <w:r w:rsidR="004215A0">
          <w:rPr>
            <w:noProof/>
            <w:webHidden/>
          </w:rPr>
        </w:r>
        <w:r w:rsidR="004215A0">
          <w:rPr>
            <w:noProof/>
            <w:webHidden/>
          </w:rPr>
          <w:fldChar w:fldCharType="separate"/>
        </w:r>
        <w:r w:rsidR="004215A0">
          <w:rPr>
            <w:noProof/>
            <w:webHidden/>
          </w:rPr>
          <w:t>10</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30" w:history="1">
        <w:r w:rsidR="004215A0" w:rsidRPr="006B362F">
          <w:rPr>
            <w:rStyle w:val="Hypertextovodkaz"/>
            <w:noProof/>
          </w:rPr>
          <w:t>Tabulka č. 12: Analýza výdajů obcí v rámci ČR (v %)</w:t>
        </w:r>
        <w:r w:rsidR="004215A0">
          <w:rPr>
            <w:noProof/>
            <w:webHidden/>
          </w:rPr>
          <w:tab/>
        </w:r>
        <w:r w:rsidR="004215A0">
          <w:rPr>
            <w:noProof/>
            <w:webHidden/>
          </w:rPr>
          <w:fldChar w:fldCharType="begin"/>
        </w:r>
        <w:r w:rsidR="004215A0">
          <w:rPr>
            <w:noProof/>
            <w:webHidden/>
          </w:rPr>
          <w:instrText xml:space="preserve"> PAGEREF _Toc379566730 \h </w:instrText>
        </w:r>
        <w:r w:rsidR="004215A0">
          <w:rPr>
            <w:noProof/>
            <w:webHidden/>
          </w:rPr>
        </w:r>
        <w:r w:rsidR="004215A0">
          <w:rPr>
            <w:noProof/>
            <w:webHidden/>
          </w:rPr>
          <w:fldChar w:fldCharType="separate"/>
        </w:r>
        <w:r w:rsidR="004215A0">
          <w:rPr>
            <w:noProof/>
            <w:webHidden/>
          </w:rPr>
          <w:t>10</w:t>
        </w:r>
        <w:r w:rsidR="004215A0">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31" w:history="1">
        <w:r w:rsidR="004215A0" w:rsidRPr="006B362F">
          <w:rPr>
            <w:rStyle w:val="Hypertextovodkaz"/>
            <w:noProof/>
          </w:rPr>
          <w:t>Tabulka č. 13: Analýza zadlužení obce Krásné Údolí (v %)</w:t>
        </w:r>
        <w:r w:rsidR="004215A0">
          <w:rPr>
            <w:noProof/>
            <w:webHidden/>
          </w:rPr>
          <w:tab/>
        </w:r>
        <w:r w:rsidR="004215A0">
          <w:rPr>
            <w:noProof/>
            <w:webHidden/>
          </w:rPr>
          <w:fldChar w:fldCharType="begin"/>
        </w:r>
        <w:r w:rsidR="004215A0">
          <w:rPr>
            <w:noProof/>
            <w:webHidden/>
          </w:rPr>
          <w:instrText xml:space="preserve"> PAGEREF _Toc379566731 \h </w:instrText>
        </w:r>
        <w:r w:rsidR="004215A0">
          <w:rPr>
            <w:noProof/>
            <w:webHidden/>
          </w:rPr>
        </w:r>
        <w:r w:rsidR="004215A0">
          <w:rPr>
            <w:noProof/>
            <w:webHidden/>
          </w:rPr>
          <w:fldChar w:fldCharType="separate"/>
        </w:r>
        <w:r w:rsidR="004215A0">
          <w:rPr>
            <w:noProof/>
            <w:webHidden/>
          </w:rPr>
          <w:t>10</w:t>
        </w:r>
        <w:r w:rsidR="004215A0">
          <w:rPr>
            <w:noProof/>
            <w:webHidden/>
          </w:rPr>
          <w:fldChar w:fldCharType="end"/>
        </w:r>
      </w:hyperlink>
    </w:p>
    <w:p w:rsidR="004215A0" w:rsidRDefault="004215A0" w:rsidP="007F047E">
      <w:pPr>
        <w:spacing w:after="0" w:line="360" w:lineRule="auto"/>
        <w:rPr>
          <w:sz w:val="24"/>
          <w:szCs w:val="24"/>
        </w:rPr>
      </w:pPr>
      <w:r>
        <w:rPr>
          <w:sz w:val="24"/>
          <w:szCs w:val="24"/>
        </w:rPr>
        <w:fldChar w:fldCharType="end"/>
      </w:r>
    </w:p>
    <w:p w:rsidR="004215A0" w:rsidRPr="00497079" w:rsidRDefault="004215A0" w:rsidP="002E4A29">
      <w:pPr>
        <w:pStyle w:val="Nzev"/>
        <w:rPr>
          <w:rFonts w:ascii="Calibri" w:hAnsi="Calibri"/>
          <w:color w:val="auto"/>
        </w:rPr>
      </w:pPr>
      <w:r>
        <w:rPr>
          <w:rFonts w:ascii="Calibri" w:hAnsi="Calibri"/>
          <w:color w:val="auto"/>
        </w:rPr>
        <w:t>Seznam obrázků</w:t>
      </w:r>
    </w:p>
    <w:p w:rsidR="004215A0" w:rsidRDefault="004215A0">
      <w:pPr>
        <w:pStyle w:val="Seznamobrzk"/>
        <w:tabs>
          <w:tab w:val="right" w:leader="dot" w:pos="9402"/>
        </w:tabs>
        <w:rPr>
          <w:rFonts w:ascii="Times New Roman" w:hAnsi="Times New Roman"/>
          <w:noProof/>
          <w:sz w:val="24"/>
          <w:szCs w:val="24"/>
          <w:lang w:eastAsia="cs-CZ"/>
        </w:rPr>
      </w:pPr>
      <w:r>
        <w:rPr>
          <w:sz w:val="24"/>
          <w:szCs w:val="24"/>
        </w:rPr>
        <w:fldChar w:fldCharType="begin"/>
      </w:r>
      <w:r>
        <w:rPr>
          <w:sz w:val="24"/>
          <w:szCs w:val="24"/>
        </w:rPr>
        <w:instrText xml:space="preserve"> TOC \h \z \t "Nadpis 3" \c </w:instrText>
      </w:r>
      <w:r>
        <w:rPr>
          <w:sz w:val="24"/>
          <w:szCs w:val="24"/>
        </w:rPr>
        <w:fldChar w:fldCharType="separate"/>
      </w:r>
      <w:hyperlink w:anchor="_Toc379566732" w:history="1">
        <w:r w:rsidRPr="008A0094">
          <w:rPr>
            <w:rStyle w:val="Hypertextovodkaz"/>
            <w:noProof/>
          </w:rPr>
          <w:t>Obrázek č. 1: Městský znak</w:t>
        </w:r>
        <w:r>
          <w:rPr>
            <w:noProof/>
            <w:webHidden/>
          </w:rPr>
          <w:tab/>
        </w:r>
        <w:r>
          <w:rPr>
            <w:noProof/>
            <w:webHidden/>
          </w:rPr>
          <w:fldChar w:fldCharType="begin"/>
        </w:r>
        <w:r>
          <w:rPr>
            <w:noProof/>
            <w:webHidden/>
          </w:rPr>
          <w:instrText xml:space="preserve"> PAGEREF _Toc379566732 \h </w:instrText>
        </w:r>
        <w:r>
          <w:rPr>
            <w:noProof/>
            <w:webHidden/>
          </w:rPr>
        </w:r>
        <w:r>
          <w:rPr>
            <w:noProof/>
            <w:webHidden/>
          </w:rPr>
          <w:fldChar w:fldCharType="separate"/>
        </w:r>
        <w:r>
          <w:rPr>
            <w:noProof/>
            <w:webHidden/>
          </w:rPr>
          <w:t>3</w:t>
        </w:r>
        <w:r>
          <w:rPr>
            <w:noProof/>
            <w:webHidden/>
          </w:rPr>
          <w:fldChar w:fldCharType="end"/>
        </w:r>
      </w:hyperlink>
    </w:p>
    <w:p w:rsidR="004215A0" w:rsidRDefault="00955E9E">
      <w:pPr>
        <w:pStyle w:val="Seznamobrzk"/>
        <w:tabs>
          <w:tab w:val="right" w:leader="dot" w:pos="9402"/>
        </w:tabs>
        <w:rPr>
          <w:rFonts w:ascii="Times New Roman" w:hAnsi="Times New Roman"/>
          <w:noProof/>
          <w:sz w:val="24"/>
          <w:szCs w:val="24"/>
          <w:lang w:eastAsia="cs-CZ"/>
        </w:rPr>
      </w:pPr>
      <w:hyperlink w:anchor="_Toc379566733" w:history="1">
        <w:r w:rsidR="004215A0" w:rsidRPr="008A0094">
          <w:rPr>
            <w:rStyle w:val="Hypertextovodkaz"/>
            <w:noProof/>
            <w:shd w:val="clear" w:color="auto" w:fill="FFFFFF"/>
          </w:rPr>
          <w:t>Obrázek č. 2: Teritoriální vymezení obce Krásné Údolí v rámci ČR</w:t>
        </w:r>
        <w:r w:rsidR="004215A0">
          <w:rPr>
            <w:noProof/>
            <w:webHidden/>
          </w:rPr>
          <w:tab/>
        </w:r>
        <w:r w:rsidR="004215A0">
          <w:rPr>
            <w:noProof/>
            <w:webHidden/>
          </w:rPr>
          <w:fldChar w:fldCharType="begin"/>
        </w:r>
        <w:r w:rsidR="004215A0">
          <w:rPr>
            <w:noProof/>
            <w:webHidden/>
          </w:rPr>
          <w:instrText xml:space="preserve"> PAGEREF _Toc379566733 \h </w:instrText>
        </w:r>
        <w:r w:rsidR="004215A0">
          <w:rPr>
            <w:noProof/>
            <w:webHidden/>
          </w:rPr>
        </w:r>
        <w:r w:rsidR="004215A0">
          <w:rPr>
            <w:noProof/>
            <w:webHidden/>
          </w:rPr>
          <w:fldChar w:fldCharType="separate"/>
        </w:r>
        <w:r w:rsidR="004215A0">
          <w:rPr>
            <w:noProof/>
            <w:webHidden/>
          </w:rPr>
          <w:t>3</w:t>
        </w:r>
        <w:r w:rsidR="004215A0">
          <w:rPr>
            <w:noProof/>
            <w:webHidden/>
          </w:rPr>
          <w:fldChar w:fldCharType="end"/>
        </w:r>
      </w:hyperlink>
    </w:p>
    <w:p w:rsidR="004215A0" w:rsidRDefault="004215A0" w:rsidP="00852F6E">
      <w:pPr>
        <w:spacing w:after="0" w:line="360" w:lineRule="auto"/>
        <w:jc w:val="both"/>
        <w:rPr>
          <w:sz w:val="24"/>
          <w:szCs w:val="24"/>
        </w:rPr>
      </w:pPr>
      <w:r>
        <w:rPr>
          <w:sz w:val="24"/>
          <w:szCs w:val="24"/>
        </w:rPr>
        <w:fldChar w:fldCharType="end"/>
      </w: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Default="004215A0" w:rsidP="00852F6E">
      <w:pPr>
        <w:spacing w:after="0" w:line="360" w:lineRule="auto"/>
        <w:jc w:val="both"/>
        <w:rPr>
          <w:sz w:val="24"/>
          <w:szCs w:val="24"/>
        </w:rPr>
      </w:pPr>
    </w:p>
    <w:p w:rsidR="004215A0" w:rsidRPr="00497079" w:rsidRDefault="004215A0" w:rsidP="002E4A29">
      <w:pPr>
        <w:pStyle w:val="Nzev"/>
        <w:rPr>
          <w:rFonts w:ascii="Calibri" w:hAnsi="Calibri"/>
          <w:color w:val="auto"/>
        </w:rPr>
      </w:pPr>
      <w:r>
        <w:rPr>
          <w:rFonts w:ascii="Calibri" w:hAnsi="Calibri"/>
          <w:color w:val="auto"/>
        </w:rPr>
        <w:t>Seznam elektronických zdrojů</w:t>
      </w:r>
    </w:p>
    <w:p w:rsidR="004215A0" w:rsidRPr="002E4A29" w:rsidRDefault="004215A0" w:rsidP="00B41330">
      <w:pPr>
        <w:spacing w:before="120" w:after="0" w:line="240" w:lineRule="auto"/>
        <w:rPr>
          <w:rFonts w:ascii="Cambria" w:hAnsi="Cambria"/>
          <w:sz w:val="24"/>
          <w:szCs w:val="24"/>
          <w:shd w:val="clear" w:color="auto" w:fill="FFFFFF"/>
        </w:rPr>
      </w:pPr>
      <w:r w:rsidRPr="002E4A29">
        <w:rPr>
          <w:rFonts w:ascii="Cambria" w:hAnsi="Cambria"/>
          <w:noProof/>
          <w:color w:val="000000"/>
          <w:sz w:val="24"/>
          <w:szCs w:val="24"/>
          <w:shd w:val="clear" w:color="auto" w:fill="FFFFFF"/>
        </w:rPr>
        <w:t xml:space="preserve">[1] </w:t>
      </w:r>
      <w:r w:rsidRPr="002E4A29">
        <w:rPr>
          <w:rFonts w:ascii="Cambria" w:hAnsi="Cambria"/>
          <w:i/>
          <w:iCs/>
          <w:sz w:val="24"/>
          <w:szCs w:val="24"/>
          <w:shd w:val="clear" w:color="auto" w:fill="FFFFFF"/>
        </w:rPr>
        <w:t>Město Krásné Údolí:</w:t>
      </w:r>
      <w:r w:rsidRPr="002E4A29">
        <w:rPr>
          <w:rStyle w:val="apple-converted-space"/>
          <w:rFonts w:ascii="Cambria" w:hAnsi="Cambria"/>
          <w:i/>
          <w:iCs/>
          <w:sz w:val="24"/>
          <w:szCs w:val="24"/>
          <w:shd w:val="clear" w:color="auto" w:fill="FFFFFF"/>
        </w:rPr>
        <w:t> </w:t>
      </w:r>
      <w:r w:rsidRPr="002E4A29">
        <w:rPr>
          <w:rFonts w:ascii="Cambria" w:hAnsi="Cambria"/>
          <w:i/>
          <w:iCs/>
          <w:sz w:val="24"/>
          <w:szCs w:val="24"/>
          <w:shd w:val="clear" w:color="auto" w:fill="FFFFFF"/>
        </w:rPr>
        <w:t>Informační portál města</w:t>
      </w:r>
      <w:r w:rsidRPr="002E4A29">
        <w:rPr>
          <w:rFonts w:ascii="Cambria" w:hAnsi="Cambria"/>
          <w:sz w:val="24"/>
          <w:szCs w:val="24"/>
          <w:shd w:val="clear" w:color="auto" w:fill="FFFFFF"/>
        </w:rPr>
        <w:t>,</w:t>
      </w:r>
      <w:r w:rsidRPr="002E4A29">
        <w:rPr>
          <w:rStyle w:val="apple-converted-space"/>
          <w:rFonts w:ascii="Cambria" w:hAnsi="Cambria"/>
          <w:i/>
          <w:iCs/>
          <w:sz w:val="24"/>
          <w:szCs w:val="24"/>
          <w:shd w:val="clear" w:color="auto" w:fill="FFFFFF"/>
        </w:rPr>
        <w:t> </w:t>
      </w:r>
      <w:r w:rsidRPr="002E4A29">
        <w:rPr>
          <w:rFonts w:ascii="Cambria" w:hAnsi="Cambria"/>
          <w:sz w:val="24"/>
          <w:szCs w:val="24"/>
          <w:shd w:val="clear" w:color="auto" w:fill="FFFFFF"/>
        </w:rPr>
        <w:t xml:space="preserve">2014 [online]. Krasneudoli.cz </w:t>
      </w:r>
      <w:r>
        <w:rPr>
          <w:rFonts w:ascii="Cambria" w:hAnsi="Cambria"/>
          <w:sz w:val="24"/>
          <w:szCs w:val="24"/>
          <w:shd w:val="clear" w:color="auto" w:fill="FFFFFF"/>
        </w:rPr>
        <w:br/>
      </w:r>
      <w:r w:rsidRPr="002E4A29">
        <w:rPr>
          <w:rFonts w:ascii="Cambria" w:hAnsi="Cambria"/>
          <w:sz w:val="24"/>
          <w:szCs w:val="24"/>
          <w:shd w:val="clear" w:color="auto" w:fill="FFFFFF"/>
        </w:rPr>
        <w:t>[cit. 3.2.2014]. Dostupné z: http://www.krasneudoli.cz/</w:t>
      </w:r>
    </w:p>
    <w:p w:rsidR="004215A0" w:rsidRPr="002E4A29" w:rsidRDefault="004215A0" w:rsidP="00B41330">
      <w:pPr>
        <w:spacing w:after="0" w:line="240" w:lineRule="auto"/>
        <w:rPr>
          <w:rFonts w:ascii="Cambria" w:hAnsi="Cambria"/>
          <w:sz w:val="24"/>
          <w:szCs w:val="24"/>
          <w:shd w:val="clear" w:color="auto" w:fill="FFFFFF"/>
        </w:rPr>
      </w:pPr>
    </w:p>
    <w:p w:rsidR="004215A0" w:rsidRPr="002E4A29" w:rsidRDefault="004215A0" w:rsidP="00B41330">
      <w:pPr>
        <w:spacing w:after="0" w:line="240" w:lineRule="auto"/>
        <w:rPr>
          <w:rFonts w:ascii="Cambria" w:hAnsi="Cambria"/>
          <w:sz w:val="24"/>
          <w:szCs w:val="24"/>
        </w:rPr>
      </w:pPr>
      <w:r w:rsidRPr="002E4A29">
        <w:rPr>
          <w:rFonts w:ascii="Cambria" w:hAnsi="Cambria"/>
          <w:noProof/>
          <w:color w:val="000000"/>
          <w:sz w:val="24"/>
          <w:szCs w:val="24"/>
          <w:shd w:val="clear" w:color="auto" w:fill="FFFFFF"/>
        </w:rPr>
        <w:t xml:space="preserve">[2] </w:t>
      </w:r>
      <w:r w:rsidRPr="002E4A29">
        <w:rPr>
          <w:rFonts w:ascii="Cambria" w:hAnsi="Cambria"/>
          <w:i/>
          <w:sz w:val="24"/>
          <w:szCs w:val="24"/>
        </w:rPr>
        <w:t>Volby.cz:Volby do zastupitelstev obcí 15.10. - 16.10.2010.</w:t>
      </w:r>
      <w:r w:rsidRPr="002E4A29">
        <w:rPr>
          <w:rFonts w:ascii="Cambria" w:hAnsi="Cambria"/>
          <w:color w:val="000000"/>
          <w:sz w:val="24"/>
          <w:szCs w:val="24"/>
          <w:shd w:val="clear" w:color="auto" w:fill="FFFFFF"/>
        </w:rPr>
        <w:t xml:space="preserve"> [online]. Volby.cz. [cit. 3.2.2014].Dostupnéz: http://www.volby.cz/pls/kv2010/kv1111?xjazyk =CZ&amp;xid =1&amp;xdz= 1&amp;xnumnuts=4102&amp;xobec=555304&amp;xobecnaz=Kr%E1sn%E9+%DAdol%ED&amp;xstat=0&amp;xvyber=</w:t>
      </w:r>
    </w:p>
    <w:p w:rsidR="004215A0" w:rsidRPr="002E4A29" w:rsidRDefault="004215A0" w:rsidP="00B41330">
      <w:pPr>
        <w:spacing w:before="120" w:after="0" w:line="240" w:lineRule="auto"/>
        <w:rPr>
          <w:rFonts w:ascii="Cambria" w:hAnsi="Cambria"/>
          <w:sz w:val="24"/>
          <w:szCs w:val="24"/>
          <w:shd w:val="clear" w:color="auto" w:fill="FFFFFF"/>
        </w:rPr>
      </w:pPr>
      <w:r w:rsidRPr="002E4A29">
        <w:rPr>
          <w:rFonts w:ascii="Cambria" w:hAnsi="Cambria"/>
          <w:noProof/>
          <w:color w:val="000000"/>
          <w:sz w:val="24"/>
          <w:szCs w:val="24"/>
          <w:shd w:val="clear" w:color="auto" w:fill="FFFFFF"/>
        </w:rPr>
        <w:t xml:space="preserve">[3] </w:t>
      </w:r>
      <w:r w:rsidRPr="002E4A29">
        <w:rPr>
          <w:rFonts w:ascii="Cambria" w:hAnsi="Cambria"/>
          <w:i/>
          <w:iCs/>
          <w:sz w:val="24"/>
          <w:szCs w:val="24"/>
          <w:shd w:val="clear" w:color="auto" w:fill="FFFFFF"/>
        </w:rPr>
        <w:t>Město Krásné Údolí:</w:t>
      </w:r>
      <w:r w:rsidRPr="002E4A29">
        <w:rPr>
          <w:rStyle w:val="apple-converted-space"/>
          <w:rFonts w:ascii="Cambria" w:hAnsi="Cambria"/>
          <w:i/>
          <w:iCs/>
          <w:sz w:val="24"/>
          <w:szCs w:val="24"/>
          <w:shd w:val="clear" w:color="auto" w:fill="FFFFFF"/>
        </w:rPr>
        <w:t> </w:t>
      </w:r>
      <w:r w:rsidRPr="002E4A29">
        <w:rPr>
          <w:rFonts w:ascii="Cambria" w:hAnsi="Cambria"/>
          <w:i/>
          <w:iCs/>
          <w:sz w:val="24"/>
          <w:szCs w:val="24"/>
          <w:shd w:val="clear" w:color="auto" w:fill="FFFFFF"/>
        </w:rPr>
        <w:t>Z obce na město</w:t>
      </w:r>
      <w:r w:rsidRPr="002E4A29">
        <w:rPr>
          <w:rFonts w:ascii="Cambria" w:hAnsi="Cambria"/>
          <w:sz w:val="24"/>
          <w:szCs w:val="24"/>
          <w:shd w:val="clear" w:color="auto" w:fill="FFFFFF"/>
        </w:rPr>
        <w:t>,</w:t>
      </w:r>
      <w:r w:rsidRPr="002E4A29">
        <w:rPr>
          <w:rStyle w:val="apple-converted-space"/>
          <w:rFonts w:ascii="Cambria" w:hAnsi="Cambria"/>
          <w:i/>
          <w:iCs/>
          <w:sz w:val="24"/>
          <w:szCs w:val="24"/>
          <w:shd w:val="clear" w:color="auto" w:fill="FFFFFF"/>
        </w:rPr>
        <w:t> </w:t>
      </w:r>
      <w:r w:rsidRPr="002E4A29">
        <w:rPr>
          <w:rFonts w:ascii="Cambria" w:hAnsi="Cambria"/>
          <w:sz w:val="24"/>
          <w:szCs w:val="24"/>
          <w:shd w:val="clear" w:color="auto" w:fill="FFFFFF"/>
        </w:rPr>
        <w:t xml:space="preserve">2012 [online]. Krasneudoli.cz [cit. 3.2.2014]. </w:t>
      </w:r>
    </w:p>
    <w:p w:rsidR="004215A0" w:rsidRPr="002E4A29" w:rsidRDefault="004215A0" w:rsidP="00B41330">
      <w:pPr>
        <w:spacing w:after="0" w:line="240" w:lineRule="auto"/>
        <w:rPr>
          <w:rFonts w:ascii="Cambria" w:hAnsi="Cambria"/>
          <w:sz w:val="24"/>
          <w:szCs w:val="24"/>
          <w:shd w:val="clear" w:color="auto" w:fill="FFFFFF"/>
        </w:rPr>
      </w:pPr>
      <w:r w:rsidRPr="002E4A29">
        <w:rPr>
          <w:rFonts w:ascii="Cambria" w:hAnsi="Cambria"/>
          <w:sz w:val="24"/>
          <w:szCs w:val="24"/>
          <w:shd w:val="clear" w:color="auto" w:fill="FFFFFF"/>
        </w:rPr>
        <w:t>Dostupné z: http://www.obeckrasneudoli.cz/z-obce-mesto</w:t>
      </w:r>
    </w:p>
    <w:p w:rsidR="004215A0" w:rsidRPr="002E4A29" w:rsidRDefault="004215A0" w:rsidP="00B41330">
      <w:pPr>
        <w:spacing w:before="120" w:after="0" w:line="240" w:lineRule="auto"/>
        <w:rPr>
          <w:rFonts w:ascii="Cambria" w:hAnsi="Cambria"/>
          <w:sz w:val="24"/>
          <w:szCs w:val="24"/>
          <w:shd w:val="clear" w:color="auto" w:fill="FFFFFF"/>
        </w:rPr>
      </w:pPr>
      <w:r w:rsidRPr="002E4A29">
        <w:rPr>
          <w:rFonts w:ascii="Cambria" w:hAnsi="Cambria"/>
          <w:noProof/>
          <w:color w:val="000000"/>
          <w:sz w:val="24"/>
          <w:szCs w:val="24"/>
          <w:shd w:val="clear" w:color="auto" w:fill="FFFFFF"/>
        </w:rPr>
        <w:t xml:space="preserve">[4] </w:t>
      </w:r>
      <w:r w:rsidRPr="002E4A29">
        <w:rPr>
          <w:rFonts w:ascii="Cambria" w:hAnsi="Cambria"/>
          <w:i/>
          <w:sz w:val="24"/>
          <w:szCs w:val="24"/>
          <w:shd w:val="clear" w:color="auto" w:fill="FFFFFF"/>
        </w:rPr>
        <w:t>Otevřená encyklopedie Wikipedie: Krásné Údolí, 2014</w:t>
      </w:r>
      <w:r w:rsidRPr="002E4A29">
        <w:rPr>
          <w:rFonts w:ascii="Cambria" w:hAnsi="Cambria"/>
          <w:sz w:val="24"/>
          <w:szCs w:val="24"/>
          <w:shd w:val="clear" w:color="auto" w:fill="FFFFFF"/>
        </w:rPr>
        <w:t xml:space="preserve"> [online]. Wikipedia.org [cit. 3.2.2014]. Dostupné z:</w:t>
      </w:r>
    </w:p>
    <w:p w:rsidR="004215A0" w:rsidRPr="002E4A29" w:rsidRDefault="004215A0" w:rsidP="00B41330">
      <w:pPr>
        <w:spacing w:after="0" w:line="240" w:lineRule="auto"/>
        <w:rPr>
          <w:rFonts w:ascii="Cambria" w:hAnsi="Cambria"/>
          <w:sz w:val="24"/>
          <w:szCs w:val="24"/>
          <w:shd w:val="clear" w:color="auto" w:fill="FFFFFF"/>
        </w:rPr>
      </w:pPr>
      <w:r w:rsidRPr="002E4A29">
        <w:rPr>
          <w:rFonts w:ascii="Cambria" w:hAnsi="Cambria"/>
          <w:sz w:val="24"/>
          <w:szCs w:val="24"/>
          <w:shd w:val="clear" w:color="auto" w:fill="FFFFFF"/>
        </w:rPr>
        <w:t>http://cs.wikipedia.org/wiki/Kr%C3%A1sn%C3%A9_%C3%9Adol%C3%AD</w:t>
      </w:r>
    </w:p>
    <w:p w:rsidR="004215A0" w:rsidRPr="002E4A29" w:rsidRDefault="004215A0" w:rsidP="00B41330">
      <w:pPr>
        <w:spacing w:after="0" w:line="240" w:lineRule="auto"/>
        <w:rPr>
          <w:rFonts w:ascii="Cambria" w:hAnsi="Cambria"/>
          <w:sz w:val="24"/>
          <w:szCs w:val="24"/>
          <w:shd w:val="clear" w:color="auto" w:fill="FFFFFF"/>
        </w:rPr>
      </w:pPr>
    </w:p>
    <w:p w:rsidR="004215A0" w:rsidRPr="002E4A29" w:rsidRDefault="004215A0" w:rsidP="00B41330">
      <w:pPr>
        <w:spacing w:after="0" w:line="240" w:lineRule="auto"/>
        <w:rPr>
          <w:rFonts w:ascii="Cambria" w:hAnsi="Cambria"/>
          <w:color w:val="000000"/>
          <w:sz w:val="24"/>
          <w:szCs w:val="24"/>
          <w:shd w:val="clear" w:color="auto" w:fill="FFFFFF"/>
        </w:rPr>
      </w:pPr>
      <w:r w:rsidRPr="002E4A29">
        <w:rPr>
          <w:rFonts w:ascii="Cambria" w:hAnsi="Cambria"/>
          <w:noProof/>
          <w:color w:val="000000"/>
          <w:sz w:val="24"/>
          <w:szCs w:val="24"/>
          <w:shd w:val="clear" w:color="auto" w:fill="FFFFFF"/>
        </w:rPr>
        <w:t xml:space="preserve">[5] </w:t>
      </w:r>
      <w:r w:rsidRPr="002E4A29">
        <w:rPr>
          <w:rFonts w:ascii="Cambria" w:hAnsi="Cambria"/>
          <w:i/>
          <w:sz w:val="24"/>
          <w:szCs w:val="24"/>
        </w:rPr>
        <w:t>Český statistický úřad:Počet obyvatel – stav k 1.1.2013</w:t>
      </w:r>
      <w:r w:rsidRPr="002E4A29">
        <w:rPr>
          <w:rFonts w:ascii="Cambria" w:hAnsi="Cambria"/>
          <w:sz w:val="24"/>
          <w:szCs w:val="24"/>
        </w:rPr>
        <w:t xml:space="preserve">, </w:t>
      </w:r>
      <w:r w:rsidRPr="002E4A29">
        <w:rPr>
          <w:rFonts w:ascii="Cambria" w:hAnsi="Cambria"/>
          <w:color w:val="000000"/>
          <w:sz w:val="24"/>
          <w:szCs w:val="24"/>
          <w:shd w:val="clear" w:color="auto" w:fill="FFFFFF"/>
        </w:rPr>
        <w:t>2013 [online]. ČSÚ. [cit. 3.2.2014]. Dostupné z: http://www.czso.cz/xk/redakce.nsf/i/pocet_obyvatel_stav_k_1_1_2013</w:t>
      </w:r>
    </w:p>
    <w:p w:rsidR="004215A0" w:rsidRPr="002E4A29" w:rsidRDefault="004215A0" w:rsidP="00B41330">
      <w:pPr>
        <w:spacing w:after="0" w:line="240" w:lineRule="auto"/>
        <w:rPr>
          <w:rFonts w:ascii="Cambria" w:hAnsi="Cambria"/>
          <w:sz w:val="24"/>
          <w:szCs w:val="24"/>
        </w:rPr>
      </w:pPr>
    </w:p>
    <w:p w:rsidR="004215A0" w:rsidRPr="002E4A29" w:rsidRDefault="004215A0" w:rsidP="00B41330">
      <w:pPr>
        <w:spacing w:after="0" w:line="240" w:lineRule="auto"/>
        <w:rPr>
          <w:rFonts w:ascii="Cambria" w:hAnsi="Cambria"/>
          <w:color w:val="000000"/>
          <w:sz w:val="24"/>
          <w:szCs w:val="24"/>
          <w:shd w:val="clear" w:color="auto" w:fill="FFFFFF"/>
        </w:rPr>
      </w:pPr>
      <w:r w:rsidRPr="002E4A29">
        <w:rPr>
          <w:rFonts w:ascii="Cambria" w:hAnsi="Cambria"/>
          <w:noProof/>
          <w:color w:val="000000"/>
          <w:sz w:val="24"/>
          <w:szCs w:val="24"/>
          <w:shd w:val="clear" w:color="auto" w:fill="FFFFFF"/>
        </w:rPr>
        <w:t xml:space="preserve">[6] </w:t>
      </w:r>
      <w:r w:rsidRPr="002E4A29">
        <w:rPr>
          <w:rFonts w:ascii="Cambria" w:hAnsi="Cambria"/>
          <w:i/>
          <w:sz w:val="24"/>
          <w:szCs w:val="24"/>
        </w:rPr>
        <w:t>Český statistický úřad:Počet obyvatel – stav k 1.1.2012</w:t>
      </w:r>
      <w:r w:rsidRPr="002E4A29">
        <w:rPr>
          <w:rFonts w:ascii="Cambria" w:hAnsi="Cambria"/>
          <w:sz w:val="24"/>
          <w:szCs w:val="24"/>
        </w:rPr>
        <w:t xml:space="preserve">, </w:t>
      </w:r>
      <w:r w:rsidRPr="002E4A29">
        <w:rPr>
          <w:rFonts w:ascii="Cambria" w:hAnsi="Cambria"/>
          <w:color w:val="000000"/>
          <w:sz w:val="24"/>
          <w:szCs w:val="24"/>
          <w:shd w:val="clear" w:color="auto" w:fill="FFFFFF"/>
        </w:rPr>
        <w:t>2012 [online]. ČSÚ. [cit. 3.2.2014]. Dostupné z: http://www.czso.cz/xk/redakce.nsf/i/pocet_obyvatel_stav_k_1_1_2012</w:t>
      </w:r>
    </w:p>
    <w:p w:rsidR="004215A0" w:rsidRPr="002E4A29" w:rsidRDefault="004215A0" w:rsidP="00B41330">
      <w:pPr>
        <w:spacing w:after="0" w:line="240" w:lineRule="auto"/>
        <w:rPr>
          <w:rFonts w:ascii="Cambria" w:hAnsi="Cambria"/>
          <w:i/>
          <w:sz w:val="24"/>
          <w:szCs w:val="24"/>
        </w:rPr>
      </w:pPr>
    </w:p>
    <w:p w:rsidR="004215A0" w:rsidRPr="002E4A29" w:rsidRDefault="004215A0" w:rsidP="00B41330">
      <w:pPr>
        <w:spacing w:after="0" w:line="240" w:lineRule="auto"/>
        <w:rPr>
          <w:rFonts w:ascii="Cambria" w:hAnsi="Cambria"/>
          <w:color w:val="000000"/>
          <w:sz w:val="24"/>
          <w:szCs w:val="24"/>
          <w:shd w:val="clear" w:color="auto" w:fill="FFFFFF"/>
        </w:rPr>
      </w:pPr>
      <w:r w:rsidRPr="002E4A29">
        <w:rPr>
          <w:rFonts w:ascii="Cambria" w:hAnsi="Cambria"/>
          <w:noProof/>
          <w:color w:val="000000"/>
          <w:sz w:val="24"/>
          <w:szCs w:val="24"/>
          <w:shd w:val="clear" w:color="auto" w:fill="FFFFFF"/>
        </w:rPr>
        <w:t xml:space="preserve">[7] </w:t>
      </w:r>
      <w:r w:rsidRPr="002E4A29">
        <w:rPr>
          <w:rFonts w:ascii="Cambria" w:hAnsi="Cambria"/>
          <w:i/>
          <w:sz w:val="24"/>
          <w:szCs w:val="24"/>
        </w:rPr>
        <w:t>Český statistický úřad:Počet obyvatel – stav k 1.1.2011</w:t>
      </w:r>
      <w:r w:rsidRPr="002E4A29">
        <w:rPr>
          <w:rFonts w:ascii="Cambria" w:hAnsi="Cambria"/>
          <w:sz w:val="24"/>
          <w:szCs w:val="24"/>
        </w:rPr>
        <w:t xml:space="preserve">, </w:t>
      </w:r>
      <w:r w:rsidRPr="002E4A29">
        <w:rPr>
          <w:rFonts w:ascii="Cambria" w:hAnsi="Cambria"/>
          <w:color w:val="000000"/>
          <w:sz w:val="24"/>
          <w:szCs w:val="24"/>
          <w:shd w:val="clear" w:color="auto" w:fill="FFFFFF"/>
        </w:rPr>
        <w:t>2011 [online]. ČSÚ. [cit. 3.2.2014]. Dostupné z: http://www.czso.cz/xk/redakce.nsf/i/pocet_obyvatel_stav_k_1_1_2011</w:t>
      </w:r>
    </w:p>
    <w:p w:rsidR="004215A0" w:rsidRPr="002E4A29" w:rsidRDefault="004215A0" w:rsidP="00B41330">
      <w:pPr>
        <w:spacing w:after="0" w:line="240" w:lineRule="auto"/>
        <w:rPr>
          <w:rFonts w:ascii="Cambria" w:hAnsi="Cambria"/>
          <w:color w:val="000000"/>
          <w:sz w:val="24"/>
          <w:szCs w:val="24"/>
          <w:shd w:val="clear" w:color="auto" w:fill="FFFFFF"/>
        </w:rPr>
      </w:pPr>
    </w:p>
    <w:p w:rsidR="004215A0" w:rsidRPr="002E4A29" w:rsidRDefault="004215A0" w:rsidP="00B41330">
      <w:pPr>
        <w:spacing w:after="0" w:line="240" w:lineRule="auto"/>
        <w:rPr>
          <w:rFonts w:ascii="Cambria" w:hAnsi="Cambria"/>
          <w:color w:val="000000"/>
          <w:sz w:val="24"/>
          <w:szCs w:val="24"/>
          <w:shd w:val="clear" w:color="auto" w:fill="FFFFFF"/>
        </w:rPr>
      </w:pPr>
      <w:r w:rsidRPr="002E4A29">
        <w:rPr>
          <w:rFonts w:ascii="Cambria" w:hAnsi="Cambria"/>
          <w:noProof/>
          <w:color w:val="000000"/>
          <w:sz w:val="24"/>
          <w:szCs w:val="24"/>
          <w:shd w:val="clear" w:color="auto" w:fill="FFFFFF"/>
        </w:rPr>
        <w:t xml:space="preserve">[8] </w:t>
      </w:r>
      <w:r w:rsidRPr="002E4A29">
        <w:rPr>
          <w:rFonts w:ascii="Cambria" w:hAnsi="Cambria"/>
          <w:i/>
          <w:sz w:val="24"/>
          <w:szCs w:val="24"/>
        </w:rPr>
        <w:t>Český statistický úřad:Počet obyvatel – stav k 1.1.2010</w:t>
      </w:r>
      <w:r w:rsidRPr="002E4A29">
        <w:rPr>
          <w:rFonts w:ascii="Cambria" w:hAnsi="Cambria"/>
          <w:sz w:val="24"/>
          <w:szCs w:val="24"/>
        </w:rPr>
        <w:t xml:space="preserve">, </w:t>
      </w:r>
      <w:r w:rsidRPr="002E4A29">
        <w:rPr>
          <w:rFonts w:ascii="Cambria" w:hAnsi="Cambria"/>
          <w:color w:val="000000"/>
          <w:sz w:val="24"/>
          <w:szCs w:val="24"/>
          <w:shd w:val="clear" w:color="auto" w:fill="FFFFFF"/>
        </w:rPr>
        <w:t>2010 [online]. ČSÚ. [cit. 3.2.2014]. Dostupné z: http://www.czso.cz/xk/redakce.nsf/i/pocet_obyvatel_stav_k_1_1_2010</w:t>
      </w:r>
    </w:p>
    <w:p w:rsidR="004215A0" w:rsidRPr="002E4A29" w:rsidRDefault="004215A0" w:rsidP="00B41330">
      <w:pPr>
        <w:spacing w:after="0" w:line="240" w:lineRule="auto"/>
        <w:rPr>
          <w:rFonts w:ascii="Cambria" w:hAnsi="Cambria"/>
          <w:color w:val="000000"/>
          <w:sz w:val="24"/>
          <w:szCs w:val="24"/>
          <w:shd w:val="clear" w:color="auto" w:fill="FFFFFF"/>
        </w:rPr>
      </w:pPr>
    </w:p>
    <w:p w:rsidR="004215A0" w:rsidRPr="002E4A29" w:rsidRDefault="004215A0" w:rsidP="00B41330">
      <w:pPr>
        <w:spacing w:after="0" w:line="240" w:lineRule="auto"/>
        <w:rPr>
          <w:rFonts w:ascii="Cambria" w:hAnsi="Cambria"/>
          <w:color w:val="000000"/>
          <w:sz w:val="24"/>
          <w:szCs w:val="24"/>
          <w:shd w:val="clear" w:color="auto" w:fill="FFFFFF"/>
        </w:rPr>
      </w:pPr>
      <w:r w:rsidRPr="002E4A29">
        <w:rPr>
          <w:rFonts w:ascii="Cambria" w:hAnsi="Cambria"/>
          <w:noProof/>
          <w:color w:val="000000"/>
          <w:sz w:val="24"/>
          <w:szCs w:val="24"/>
          <w:shd w:val="clear" w:color="auto" w:fill="FFFFFF"/>
        </w:rPr>
        <w:t xml:space="preserve">[9] </w:t>
      </w:r>
      <w:r w:rsidRPr="002E4A29">
        <w:rPr>
          <w:rFonts w:ascii="Cambria" w:hAnsi="Cambria"/>
          <w:i/>
          <w:sz w:val="24"/>
          <w:szCs w:val="24"/>
        </w:rPr>
        <w:t>Český statistický úřad:Obyvatelstvo – roční časové řady</w:t>
      </w:r>
      <w:r w:rsidRPr="002E4A29">
        <w:rPr>
          <w:rFonts w:ascii="Cambria" w:hAnsi="Cambria"/>
          <w:color w:val="000000"/>
          <w:sz w:val="24"/>
          <w:szCs w:val="24"/>
          <w:shd w:val="clear" w:color="auto" w:fill="FFFFFF"/>
        </w:rPr>
        <w:t xml:space="preserve"> [online]. ČSÚ. [cit. 4.2.2014]. Dostupné z: http://www.czso.cz/csu/redakce.nsf/i/obyvatelstvo_hu</w:t>
      </w:r>
    </w:p>
    <w:p w:rsidR="004215A0" w:rsidRPr="002E4A29" w:rsidRDefault="004215A0" w:rsidP="00B41330">
      <w:pPr>
        <w:spacing w:after="0" w:line="240" w:lineRule="auto"/>
        <w:rPr>
          <w:rFonts w:ascii="Cambria" w:hAnsi="Cambria"/>
          <w:sz w:val="24"/>
          <w:szCs w:val="24"/>
          <w:shd w:val="clear" w:color="auto" w:fill="FFFFFF"/>
        </w:rPr>
      </w:pPr>
    </w:p>
    <w:p w:rsidR="004215A0" w:rsidRPr="002E4A29" w:rsidRDefault="004215A0" w:rsidP="00B41330">
      <w:pPr>
        <w:spacing w:after="0" w:line="240" w:lineRule="auto"/>
        <w:rPr>
          <w:rFonts w:ascii="Cambria" w:hAnsi="Cambria"/>
          <w:sz w:val="24"/>
          <w:szCs w:val="24"/>
        </w:rPr>
      </w:pPr>
      <w:r w:rsidRPr="002E4A29">
        <w:rPr>
          <w:rFonts w:ascii="Cambria" w:hAnsi="Cambria"/>
          <w:noProof/>
          <w:color w:val="000000"/>
          <w:sz w:val="24"/>
          <w:szCs w:val="24"/>
          <w:shd w:val="clear" w:color="auto" w:fill="FFFFFF"/>
        </w:rPr>
        <w:t xml:space="preserve">[10] </w:t>
      </w:r>
      <w:r w:rsidRPr="002E4A29">
        <w:rPr>
          <w:rFonts w:ascii="Cambria" w:hAnsi="Cambria"/>
          <w:sz w:val="24"/>
          <w:szCs w:val="24"/>
        </w:rPr>
        <w:t xml:space="preserve">FRANK, Martin. </w:t>
      </w:r>
      <w:r w:rsidRPr="002E4A29">
        <w:rPr>
          <w:rFonts w:ascii="Cambria" w:hAnsi="Cambria"/>
          <w:i/>
          <w:sz w:val="24"/>
          <w:szCs w:val="24"/>
        </w:rPr>
        <w:t>Závěrečný účet města Krásné Údolí za rok 2012</w:t>
      </w:r>
      <w:r w:rsidRPr="002E4A29">
        <w:rPr>
          <w:rFonts w:ascii="Cambria" w:hAnsi="Cambria"/>
          <w:sz w:val="24"/>
          <w:szCs w:val="24"/>
        </w:rPr>
        <w:t xml:space="preserve"> [online]. Město Krásné Údolí: 2013, s. 3 [cit. 2014-02-04]. Dostupné z: http://deska.obeckrasneudoli.cz/2012zav.ucet.pdf</w:t>
      </w:r>
    </w:p>
    <w:p w:rsidR="004215A0" w:rsidRPr="002E4A29" w:rsidRDefault="004215A0" w:rsidP="00B41330">
      <w:pPr>
        <w:spacing w:after="0" w:line="240" w:lineRule="auto"/>
        <w:rPr>
          <w:rFonts w:ascii="Cambria" w:hAnsi="Cambria"/>
          <w:color w:val="000000"/>
          <w:sz w:val="24"/>
          <w:szCs w:val="24"/>
          <w:shd w:val="clear" w:color="auto" w:fill="FFFFFF"/>
        </w:rPr>
      </w:pPr>
    </w:p>
    <w:p w:rsidR="004215A0" w:rsidRPr="002E4A29" w:rsidRDefault="004215A0" w:rsidP="00B41330">
      <w:pPr>
        <w:spacing w:after="0" w:line="240" w:lineRule="auto"/>
        <w:rPr>
          <w:rFonts w:ascii="Cambria" w:hAnsi="Cambria"/>
          <w:sz w:val="24"/>
          <w:szCs w:val="24"/>
        </w:rPr>
      </w:pPr>
      <w:r w:rsidRPr="002E4A29">
        <w:rPr>
          <w:rFonts w:ascii="Cambria" w:hAnsi="Cambria"/>
          <w:noProof/>
          <w:color w:val="000000"/>
          <w:sz w:val="24"/>
          <w:szCs w:val="24"/>
          <w:shd w:val="clear" w:color="auto" w:fill="FFFFFF"/>
        </w:rPr>
        <w:t xml:space="preserve">[11] </w:t>
      </w:r>
      <w:r w:rsidRPr="002E4A29">
        <w:rPr>
          <w:rFonts w:ascii="Cambria" w:hAnsi="Cambria"/>
          <w:sz w:val="24"/>
          <w:szCs w:val="24"/>
        </w:rPr>
        <w:t xml:space="preserve">FRANK, Martin. </w:t>
      </w:r>
      <w:r w:rsidRPr="002E4A29">
        <w:rPr>
          <w:rFonts w:ascii="Cambria" w:hAnsi="Cambria"/>
          <w:i/>
          <w:sz w:val="24"/>
          <w:szCs w:val="24"/>
        </w:rPr>
        <w:t>Závěrečný účet města Krásné Údolí za rok 2011</w:t>
      </w:r>
      <w:r w:rsidRPr="002E4A29">
        <w:rPr>
          <w:rFonts w:ascii="Cambria" w:hAnsi="Cambria"/>
          <w:sz w:val="24"/>
          <w:szCs w:val="24"/>
        </w:rPr>
        <w:t xml:space="preserve"> [online]. Město Krásné Údolí: 2012, s. 3 [cit. 2014-02-04]. Dostupné z: http://deska.obeckrasneudoli.cz/2011zav.ucet.pdf</w:t>
      </w:r>
    </w:p>
    <w:p w:rsidR="004215A0" w:rsidRPr="002E4A29" w:rsidRDefault="004215A0" w:rsidP="00B41330">
      <w:pPr>
        <w:spacing w:after="0" w:line="240" w:lineRule="auto"/>
        <w:rPr>
          <w:rFonts w:ascii="Cambria" w:hAnsi="Cambria"/>
          <w:sz w:val="24"/>
          <w:szCs w:val="24"/>
        </w:rPr>
      </w:pPr>
    </w:p>
    <w:p w:rsidR="004215A0" w:rsidRPr="002E4A29" w:rsidRDefault="004215A0" w:rsidP="00B41330">
      <w:pPr>
        <w:spacing w:after="0" w:line="240" w:lineRule="auto"/>
        <w:rPr>
          <w:rFonts w:ascii="Cambria" w:hAnsi="Cambria"/>
          <w:sz w:val="24"/>
          <w:szCs w:val="24"/>
        </w:rPr>
      </w:pPr>
      <w:r w:rsidRPr="002E4A29">
        <w:rPr>
          <w:rFonts w:ascii="Cambria" w:hAnsi="Cambria"/>
          <w:noProof/>
          <w:color w:val="000000"/>
          <w:sz w:val="24"/>
          <w:szCs w:val="24"/>
          <w:shd w:val="clear" w:color="auto" w:fill="FFFFFF"/>
        </w:rPr>
        <w:t>[1</w:t>
      </w:r>
      <w:r>
        <w:rPr>
          <w:rFonts w:ascii="Cambria" w:hAnsi="Cambria"/>
          <w:noProof/>
          <w:color w:val="000000"/>
          <w:sz w:val="24"/>
          <w:szCs w:val="24"/>
          <w:shd w:val="clear" w:color="auto" w:fill="FFFFFF"/>
        </w:rPr>
        <w:t>2</w:t>
      </w:r>
      <w:r w:rsidRPr="002E4A29">
        <w:rPr>
          <w:rFonts w:ascii="Cambria" w:hAnsi="Cambria"/>
          <w:noProof/>
          <w:color w:val="000000"/>
          <w:sz w:val="24"/>
          <w:szCs w:val="24"/>
          <w:shd w:val="clear" w:color="auto" w:fill="FFFFFF"/>
        </w:rPr>
        <w:t xml:space="preserve">] </w:t>
      </w:r>
      <w:r w:rsidRPr="002E4A29">
        <w:rPr>
          <w:rFonts w:ascii="Cambria" w:hAnsi="Cambria"/>
          <w:sz w:val="24"/>
          <w:szCs w:val="24"/>
        </w:rPr>
        <w:t xml:space="preserve">FRANK, Martin. </w:t>
      </w:r>
      <w:r w:rsidRPr="002E4A29">
        <w:rPr>
          <w:rFonts w:ascii="Cambria" w:hAnsi="Cambria"/>
          <w:i/>
          <w:sz w:val="24"/>
          <w:szCs w:val="24"/>
        </w:rPr>
        <w:t>Závěrečný účet města Krásné Údolí za rok 2010</w:t>
      </w:r>
      <w:r w:rsidRPr="002E4A29">
        <w:rPr>
          <w:rFonts w:ascii="Cambria" w:hAnsi="Cambria"/>
          <w:sz w:val="24"/>
          <w:szCs w:val="24"/>
        </w:rPr>
        <w:t xml:space="preserve"> [online]. Město Krásné Údolí: 2011, s. 3 [cit. 2014-02-04]. Dostupné z: http://deska.obeckrasneudoli.cz/2010zav.ucet.pdf</w:t>
      </w:r>
    </w:p>
    <w:p w:rsidR="004215A0" w:rsidRPr="002E4A29" w:rsidRDefault="004215A0" w:rsidP="00B41330">
      <w:pPr>
        <w:spacing w:after="0" w:line="240" w:lineRule="auto"/>
        <w:rPr>
          <w:rFonts w:ascii="Cambria" w:hAnsi="Cambria"/>
          <w:sz w:val="24"/>
          <w:szCs w:val="24"/>
        </w:rPr>
      </w:pPr>
    </w:p>
    <w:p w:rsidR="004215A0" w:rsidRPr="00344FE4" w:rsidRDefault="004215A0" w:rsidP="00B41330">
      <w:pPr>
        <w:spacing w:after="0" w:line="240" w:lineRule="auto"/>
        <w:rPr>
          <w:rFonts w:ascii="Cambria" w:hAnsi="Cambria"/>
          <w:color w:val="000000"/>
          <w:sz w:val="24"/>
          <w:szCs w:val="24"/>
          <w:shd w:val="clear" w:color="auto" w:fill="FFFFFF"/>
        </w:rPr>
      </w:pPr>
      <w:r>
        <w:rPr>
          <w:rFonts w:ascii="Cambria" w:hAnsi="Cambria"/>
          <w:noProof/>
          <w:color w:val="000000"/>
          <w:sz w:val="24"/>
          <w:szCs w:val="24"/>
          <w:shd w:val="clear" w:color="auto" w:fill="FFFFFF"/>
        </w:rPr>
        <w:t>[13</w:t>
      </w:r>
      <w:r w:rsidRPr="002E4A29">
        <w:rPr>
          <w:rFonts w:ascii="Cambria" w:hAnsi="Cambria"/>
          <w:noProof/>
          <w:color w:val="000000"/>
          <w:sz w:val="24"/>
          <w:szCs w:val="24"/>
          <w:shd w:val="clear" w:color="auto" w:fill="FFFFFF"/>
        </w:rPr>
        <w:t xml:space="preserve">] </w:t>
      </w:r>
      <w:r w:rsidRPr="002E4A29">
        <w:rPr>
          <w:rFonts w:ascii="Cambria" w:hAnsi="Cambria"/>
          <w:i/>
          <w:sz w:val="24"/>
          <w:szCs w:val="24"/>
        </w:rPr>
        <w:t>Český statistický úřad: Příjmy a výdaje obcí</w:t>
      </w:r>
      <w:r w:rsidRPr="002E4A29">
        <w:rPr>
          <w:rFonts w:ascii="Cambria" w:hAnsi="Cambria"/>
          <w:color w:val="000000"/>
          <w:sz w:val="24"/>
          <w:szCs w:val="24"/>
          <w:shd w:val="clear" w:color="auto" w:fill="FFFFFF"/>
        </w:rPr>
        <w:t>[online]. ČSÚ. [cit. 4.2.2014]. Dostupné z: http://vdb.czso.cz/vdbvo/tabparam.jsp?childsel0=3&amp;cislotab=FIN4010UC_KR&amp;kapitola_id=24&amp;voa=tabulka&amp;go_zobraz=1&amp;childsel0=3&amp;pro_4_45=CZ&amp;aktualizuj=Aktualizovat; http://vdb.czso.cz/vdbvo/tabparam.jsp?cislotab=FIN4020UC_KR&amp;kapitola_id=24&amp;voa=tabulka&amp;go_zobraz=1&amp;childsel0=3&amp;pro_4_45=CZ</w:t>
      </w:r>
    </w:p>
    <w:sectPr w:rsidR="004215A0" w:rsidRPr="00344FE4" w:rsidSect="00977BB2">
      <w:footerReference w:type="even" r:id="rId10"/>
      <w:footerReference w:type="default" r:id="rId11"/>
      <w:pgSz w:w="11906" w:h="16838"/>
      <w:pgMar w:top="1134" w:right="1247" w:bottom="1134" w:left="124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5A0" w:rsidRDefault="004215A0" w:rsidP="00003303">
      <w:pPr>
        <w:spacing w:after="0" w:line="240" w:lineRule="auto"/>
      </w:pPr>
      <w:r>
        <w:separator/>
      </w:r>
    </w:p>
  </w:endnote>
  <w:endnote w:type="continuationSeparator" w:id="0">
    <w:p w:rsidR="004215A0" w:rsidRDefault="004215A0" w:rsidP="00003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A0" w:rsidRDefault="004215A0" w:rsidP="00591C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215A0" w:rsidRDefault="004215A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5A0" w:rsidRDefault="004215A0" w:rsidP="00591C9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55E9E">
      <w:rPr>
        <w:rStyle w:val="slostrnky"/>
        <w:noProof/>
      </w:rPr>
      <w:t>7</w:t>
    </w:r>
    <w:r>
      <w:rPr>
        <w:rStyle w:val="slostrnky"/>
      </w:rPr>
      <w:fldChar w:fldCharType="end"/>
    </w:r>
  </w:p>
  <w:p w:rsidR="004215A0" w:rsidRDefault="004215A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5A0" w:rsidRDefault="004215A0" w:rsidP="00003303">
      <w:pPr>
        <w:spacing w:after="0" w:line="240" w:lineRule="auto"/>
      </w:pPr>
      <w:r>
        <w:separator/>
      </w:r>
    </w:p>
  </w:footnote>
  <w:footnote w:type="continuationSeparator" w:id="0">
    <w:p w:rsidR="004215A0" w:rsidRDefault="004215A0" w:rsidP="00003303">
      <w:pPr>
        <w:spacing w:after="0" w:line="240" w:lineRule="auto"/>
      </w:pPr>
      <w:r>
        <w:continuationSeparator/>
      </w:r>
    </w:p>
  </w:footnote>
  <w:footnote w:id="1">
    <w:p w:rsidR="004215A0" w:rsidRDefault="004215A0" w:rsidP="00FD2A6E">
      <w:pPr>
        <w:spacing w:after="0" w:line="240" w:lineRule="auto"/>
      </w:pPr>
      <w:r>
        <w:rPr>
          <w:rStyle w:val="Znakapoznpodarou"/>
        </w:rPr>
        <w:footnoteRef/>
      </w:r>
      <w:r>
        <w:rPr>
          <w:i/>
          <w:sz w:val="18"/>
          <w:szCs w:val="18"/>
        </w:rPr>
        <w:t>Volby.cz:</w:t>
      </w:r>
      <w:r w:rsidRPr="00003303">
        <w:rPr>
          <w:i/>
          <w:sz w:val="18"/>
          <w:szCs w:val="18"/>
        </w:rPr>
        <w:t>Volby do zastupitelstev obcí 15.10. - 16.10.2010.</w:t>
      </w:r>
      <w:r>
        <w:rPr>
          <w:color w:val="000000"/>
          <w:sz w:val="18"/>
          <w:szCs w:val="18"/>
          <w:shd w:val="clear" w:color="auto" w:fill="FFFFFF"/>
        </w:rPr>
        <w:t xml:space="preserve"> [online]. Volby.cz</w:t>
      </w:r>
      <w:r w:rsidRPr="00BA5435">
        <w:rPr>
          <w:color w:val="000000"/>
          <w:sz w:val="18"/>
          <w:szCs w:val="18"/>
          <w:shd w:val="clear" w:color="auto" w:fill="FFFFFF"/>
        </w:rPr>
        <w:t>.</w:t>
      </w:r>
      <w:r>
        <w:rPr>
          <w:color w:val="000000"/>
          <w:sz w:val="18"/>
          <w:szCs w:val="18"/>
          <w:shd w:val="clear" w:color="auto" w:fill="FFFFFF"/>
        </w:rPr>
        <w:t xml:space="preserve"> [cit. 3.2.2014]. Dostupné z: </w:t>
      </w:r>
      <w:r w:rsidRPr="00003303">
        <w:rPr>
          <w:color w:val="000000"/>
          <w:sz w:val="18"/>
          <w:szCs w:val="18"/>
          <w:shd w:val="clear" w:color="auto" w:fill="FFFFFF"/>
        </w:rPr>
        <w:t>http://www.volby.cz/pls/kv2010/kv1111?xjazyk=CZ&amp;xid=1&amp;xdz=1&amp;xnumnuts=4102&amp;xobec=555304&amp;xobecnaz=Kr%E1</w:t>
      </w:r>
      <w:r>
        <w:rPr>
          <w:color w:val="000000"/>
          <w:sz w:val="18"/>
          <w:szCs w:val="18"/>
          <w:shd w:val="clear" w:color="auto" w:fill="FFFFFF"/>
        </w:rPr>
        <w:t>sn%E9+%DAdol%ED&amp;xstat=0&amp;xvyber=</w:t>
      </w:r>
    </w:p>
  </w:footnote>
  <w:footnote w:id="2">
    <w:p w:rsidR="004215A0" w:rsidRPr="00BA5435" w:rsidRDefault="004215A0" w:rsidP="00FD2A6E">
      <w:pPr>
        <w:spacing w:before="120" w:after="0"/>
        <w:rPr>
          <w:sz w:val="18"/>
          <w:szCs w:val="18"/>
          <w:shd w:val="clear" w:color="auto" w:fill="FFFFFF"/>
        </w:rPr>
      </w:pPr>
      <w:r>
        <w:rPr>
          <w:rStyle w:val="Znakapoznpodarou"/>
        </w:rPr>
        <w:footnoteRef/>
      </w:r>
      <w:r w:rsidRPr="00BA5435">
        <w:rPr>
          <w:i/>
          <w:iCs/>
          <w:sz w:val="18"/>
          <w:szCs w:val="18"/>
          <w:shd w:val="clear" w:color="auto" w:fill="FFFFFF"/>
        </w:rPr>
        <w:t>Město Krásné Údolí:</w:t>
      </w:r>
      <w:r w:rsidRPr="00BA5435">
        <w:rPr>
          <w:rStyle w:val="apple-converted-space"/>
          <w:i/>
          <w:iCs/>
          <w:sz w:val="18"/>
          <w:szCs w:val="18"/>
          <w:shd w:val="clear" w:color="auto" w:fill="FFFFFF"/>
        </w:rPr>
        <w:t> </w:t>
      </w:r>
      <w:r>
        <w:rPr>
          <w:i/>
          <w:iCs/>
          <w:sz w:val="18"/>
          <w:szCs w:val="18"/>
          <w:shd w:val="clear" w:color="auto" w:fill="FFFFFF"/>
        </w:rPr>
        <w:t>Z obce na město</w:t>
      </w:r>
      <w:r w:rsidRPr="00BA5435">
        <w:rPr>
          <w:sz w:val="18"/>
          <w:szCs w:val="18"/>
          <w:shd w:val="clear" w:color="auto" w:fill="FFFFFF"/>
        </w:rPr>
        <w:t>,</w:t>
      </w:r>
      <w:r w:rsidRPr="00BA5435">
        <w:rPr>
          <w:rStyle w:val="apple-converted-space"/>
          <w:i/>
          <w:iCs/>
          <w:sz w:val="18"/>
          <w:szCs w:val="18"/>
          <w:shd w:val="clear" w:color="auto" w:fill="FFFFFF"/>
        </w:rPr>
        <w:t> </w:t>
      </w:r>
      <w:r>
        <w:rPr>
          <w:sz w:val="18"/>
          <w:szCs w:val="18"/>
          <w:shd w:val="clear" w:color="auto" w:fill="FFFFFF"/>
        </w:rPr>
        <w:t>2012</w:t>
      </w:r>
      <w:r w:rsidRPr="00BA5435">
        <w:rPr>
          <w:sz w:val="18"/>
          <w:szCs w:val="18"/>
          <w:shd w:val="clear" w:color="auto" w:fill="FFFFFF"/>
        </w:rPr>
        <w:t xml:space="preserve"> [online]. Krasneudoli.</w:t>
      </w:r>
      <w:r>
        <w:rPr>
          <w:sz w:val="18"/>
          <w:szCs w:val="18"/>
          <w:shd w:val="clear" w:color="auto" w:fill="FFFFFF"/>
        </w:rPr>
        <w:t>cz</w:t>
      </w:r>
      <w:r w:rsidRPr="00BA5435">
        <w:rPr>
          <w:sz w:val="18"/>
          <w:szCs w:val="18"/>
          <w:shd w:val="clear" w:color="auto" w:fill="FFFFFF"/>
        </w:rPr>
        <w:t xml:space="preserve"> [cit. 3.2.2014]. </w:t>
      </w:r>
    </w:p>
    <w:p w:rsidR="004215A0" w:rsidRPr="00BA5435" w:rsidRDefault="004215A0" w:rsidP="00FD2A6E">
      <w:pPr>
        <w:spacing w:after="0"/>
        <w:rPr>
          <w:sz w:val="18"/>
          <w:szCs w:val="18"/>
          <w:shd w:val="clear" w:color="auto" w:fill="FFFFFF"/>
        </w:rPr>
      </w:pPr>
      <w:r w:rsidRPr="00BA5435">
        <w:rPr>
          <w:sz w:val="18"/>
          <w:szCs w:val="18"/>
          <w:shd w:val="clear" w:color="auto" w:fill="FFFFFF"/>
        </w:rPr>
        <w:t xml:space="preserve">Dostupné z: </w:t>
      </w:r>
      <w:r w:rsidRPr="00FD2A6E">
        <w:rPr>
          <w:sz w:val="18"/>
          <w:szCs w:val="18"/>
          <w:shd w:val="clear" w:color="auto" w:fill="FFFFFF"/>
        </w:rPr>
        <w:t>http://www.obeckrasneudoli.cz/z-obce-mesto</w:t>
      </w:r>
    </w:p>
    <w:p w:rsidR="004215A0" w:rsidRDefault="004215A0" w:rsidP="00FD2A6E">
      <w:pPr>
        <w:spacing w:after="0"/>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C6"/>
    <w:rsid w:val="000002E6"/>
    <w:rsid w:val="00002B8E"/>
    <w:rsid w:val="00003303"/>
    <w:rsid w:val="00045E03"/>
    <w:rsid w:val="000467AE"/>
    <w:rsid w:val="0006126F"/>
    <w:rsid w:val="00071F07"/>
    <w:rsid w:val="00076835"/>
    <w:rsid w:val="000A16D6"/>
    <w:rsid w:val="000A67AE"/>
    <w:rsid w:val="000D75F9"/>
    <w:rsid w:val="000E6B4A"/>
    <w:rsid w:val="00107D0B"/>
    <w:rsid w:val="00130667"/>
    <w:rsid w:val="001602EE"/>
    <w:rsid w:val="001909D3"/>
    <w:rsid w:val="00196781"/>
    <w:rsid w:val="001A06B5"/>
    <w:rsid w:val="001D69BC"/>
    <w:rsid w:val="001E646A"/>
    <w:rsid w:val="002362A5"/>
    <w:rsid w:val="00245261"/>
    <w:rsid w:val="00253AAF"/>
    <w:rsid w:val="002C0E33"/>
    <w:rsid w:val="002D12A9"/>
    <w:rsid w:val="002D7525"/>
    <w:rsid w:val="002E4A29"/>
    <w:rsid w:val="00316848"/>
    <w:rsid w:val="003279D3"/>
    <w:rsid w:val="00344FE4"/>
    <w:rsid w:val="0038068F"/>
    <w:rsid w:val="00396174"/>
    <w:rsid w:val="003A1968"/>
    <w:rsid w:val="003A77FD"/>
    <w:rsid w:val="003B3E0D"/>
    <w:rsid w:val="003E099C"/>
    <w:rsid w:val="00415CCF"/>
    <w:rsid w:val="004215A0"/>
    <w:rsid w:val="00425829"/>
    <w:rsid w:val="00425C61"/>
    <w:rsid w:val="00447211"/>
    <w:rsid w:val="00487A5F"/>
    <w:rsid w:val="00497079"/>
    <w:rsid w:val="004E69A5"/>
    <w:rsid w:val="004F53A7"/>
    <w:rsid w:val="005043A4"/>
    <w:rsid w:val="00522F55"/>
    <w:rsid w:val="005267E5"/>
    <w:rsid w:val="00527E8E"/>
    <w:rsid w:val="0056446E"/>
    <w:rsid w:val="0056474D"/>
    <w:rsid w:val="00566240"/>
    <w:rsid w:val="00581DDF"/>
    <w:rsid w:val="0058321B"/>
    <w:rsid w:val="00591C98"/>
    <w:rsid w:val="005C5E99"/>
    <w:rsid w:val="005D49EB"/>
    <w:rsid w:val="005E4AFA"/>
    <w:rsid w:val="0060302C"/>
    <w:rsid w:val="00617037"/>
    <w:rsid w:val="0064073B"/>
    <w:rsid w:val="006502CB"/>
    <w:rsid w:val="006566B3"/>
    <w:rsid w:val="00660E80"/>
    <w:rsid w:val="00664DF5"/>
    <w:rsid w:val="00692DA1"/>
    <w:rsid w:val="006B1314"/>
    <w:rsid w:val="006B362F"/>
    <w:rsid w:val="00714C25"/>
    <w:rsid w:val="007429FE"/>
    <w:rsid w:val="007557EE"/>
    <w:rsid w:val="00756FBC"/>
    <w:rsid w:val="007941DE"/>
    <w:rsid w:val="007A7281"/>
    <w:rsid w:val="007D1C54"/>
    <w:rsid w:val="007D5940"/>
    <w:rsid w:val="007E657D"/>
    <w:rsid w:val="007F047E"/>
    <w:rsid w:val="008251CF"/>
    <w:rsid w:val="00836362"/>
    <w:rsid w:val="00852F6E"/>
    <w:rsid w:val="00866186"/>
    <w:rsid w:val="00882B23"/>
    <w:rsid w:val="008A0094"/>
    <w:rsid w:val="008A7E7A"/>
    <w:rsid w:val="008B41A3"/>
    <w:rsid w:val="008C4686"/>
    <w:rsid w:val="008D6133"/>
    <w:rsid w:val="008D7A0C"/>
    <w:rsid w:val="008E3F62"/>
    <w:rsid w:val="008F5ED6"/>
    <w:rsid w:val="008F61BE"/>
    <w:rsid w:val="00900988"/>
    <w:rsid w:val="0090648B"/>
    <w:rsid w:val="00920B56"/>
    <w:rsid w:val="0092183D"/>
    <w:rsid w:val="0092375F"/>
    <w:rsid w:val="0093623C"/>
    <w:rsid w:val="00943D20"/>
    <w:rsid w:val="00952E85"/>
    <w:rsid w:val="00955E9E"/>
    <w:rsid w:val="00977BB2"/>
    <w:rsid w:val="00980931"/>
    <w:rsid w:val="00983FB7"/>
    <w:rsid w:val="009A40E2"/>
    <w:rsid w:val="009E1216"/>
    <w:rsid w:val="009F1FA4"/>
    <w:rsid w:val="00A0210F"/>
    <w:rsid w:val="00A20815"/>
    <w:rsid w:val="00A50E6A"/>
    <w:rsid w:val="00A57777"/>
    <w:rsid w:val="00A57F50"/>
    <w:rsid w:val="00A75188"/>
    <w:rsid w:val="00A842B1"/>
    <w:rsid w:val="00AB60AC"/>
    <w:rsid w:val="00AE3753"/>
    <w:rsid w:val="00B16ACA"/>
    <w:rsid w:val="00B30797"/>
    <w:rsid w:val="00B361F7"/>
    <w:rsid w:val="00B41330"/>
    <w:rsid w:val="00B41460"/>
    <w:rsid w:val="00B60B86"/>
    <w:rsid w:val="00B762F9"/>
    <w:rsid w:val="00B8676C"/>
    <w:rsid w:val="00BA36CB"/>
    <w:rsid w:val="00BA5435"/>
    <w:rsid w:val="00BA6C3F"/>
    <w:rsid w:val="00BB63B2"/>
    <w:rsid w:val="00BC1E3C"/>
    <w:rsid w:val="00BE6F66"/>
    <w:rsid w:val="00C13D79"/>
    <w:rsid w:val="00C16505"/>
    <w:rsid w:val="00C35B57"/>
    <w:rsid w:val="00C5049C"/>
    <w:rsid w:val="00C80852"/>
    <w:rsid w:val="00C85E57"/>
    <w:rsid w:val="00C876EA"/>
    <w:rsid w:val="00CA244C"/>
    <w:rsid w:val="00CE5AB8"/>
    <w:rsid w:val="00D024BF"/>
    <w:rsid w:val="00D03E46"/>
    <w:rsid w:val="00D16EDD"/>
    <w:rsid w:val="00D56A62"/>
    <w:rsid w:val="00D61F3C"/>
    <w:rsid w:val="00D62CC0"/>
    <w:rsid w:val="00D62FDE"/>
    <w:rsid w:val="00D87AE0"/>
    <w:rsid w:val="00DA4D3E"/>
    <w:rsid w:val="00DA65B1"/>
    <w:rsid w:val="00DB4A81"/>
    <w:rsid w:val="00DD1366"/>
    <w:rsid w:val="00E12B0E"/>
    <w:rsid w:val="00E2536B"/>
    <w:rsid w:val="00E61F44"/>
    <w:rsid w:val="00E9160A"/>
    <w:rsid w:val="00E935A3"/>
    <w:rsid w:val="00EB2090"/>
    <w:rsid w:val="00EF1756"/>
    <w:rsid w:val="00EF6CC6"/>
    <w:rsid w:val="00F06285"/>
    <w:rsid w:val="00F5790E"/>
    <w:rsid w:val="00F600AE"/>
    <w:rsid w:val="00F74C09"/>
    <w:rsid w:val="00FB7FE0"/>
    <w:rsid w:val="00FD2A6E"/>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3"/>
    <o:shapelayout v:ext="edit">
      <o:idmap v:ext="edit" data="1"/>
      <o:rules v:ext="edit">
        <o:r id="V:Rule1" type="connector" idref="#AutoShape 3"/>
        <o:r id="V:Rule2" type="connector" idref="#AutoShape 4"/>
        <o:r id="V:Rule3" type="connector" idref="#AutoShape 5"/>
        <o:r id="V:Rule4"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68F"/>
    <w:pPr>
      <w:spacing w:after="200" w:line="276" w:lineRule="auto"/>
    </w:pPr>
    <w:rPr>
      <w:lang w:eastAsia="en-US"/>
    </w:rPr>
  </w:style>
  <w:style w:type="paragraph" w:styleId="Nadpis2">
    <w:name w:val="heading 2"/>
    <w:basedOn w:val="Normln"/>
    <w:next w:val="Normln"/>
    <w:link w:val="Nadpis2Char"/>
    <w:uiPriority w:val="99"/>
    <w:qFormat/>
    <w:locked/>
    <w:rsid w:val="004F53A7"/>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locked/>
    <w:rsid w:val="007F047E"/>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4F53A7"/>
    <w:rPr>
      <w:rFonts w:ascii="Cambria" w:hAnsi="Cambria" w:cs="Times New Roman"/>
      <w:b/>
      <w:bCs/>
      <w:color w:val="4F81BD"/>
      <w:sz w:val="26"/>
      <w:szCs w:val="26"/>
      <w:lang w:eastAsia="en-US"/>
    </w:rPr>
  </w:style>
  <w:style w:type="character" w:customStyle="1" w:styleId="Nadpis3Char">
    <w:name w:val="Nadpis 3 Char"/>
    <w:basedOn w:val="Standardnpsmoodstavce"/>
    <w:link w:val="Nadpis3"/>
    <w:uiPriority w:val="99"/>
    <w:locked/>
    <w:rsid w:val="007F047E"/>
    <w:rPr>
      <w:rFonts w:ascii="Cambria" w:hAnsi="Cambria" w:cs="Times New Roman"/>
      <w:b/>
      <w:bCs/>
      <w:color w:val="4F81BD"/>
      <w:lang w:eastAsia="en-US"/>
    </w:rPr>
  </w:style>
  <w:style w:type="paragraph" w:styleId="Bezmezer">
    <w:name w:val="No Spacing"/>
    <w:link w:val="BezmezerChar"/>
    <w:uiPriority w:val="99"/>
    <w:qFormat/>
    <w:rsid w:val="00977BB2"/>
    <w:rPr>
      <w:rFonts w:eastAsia="Times New Roman"/>
      <w:lang w:eastAsia="en-US"/>
    </w:rPr>
  </w:style>
  <w:style w:type="character" w:customStyle="1" w:styleId="BezmezerChar">
    <w:name w:val="Bez mezer Char"/>
    <w:basedOn w:val="Standardnpsmoodstavce"/>
    <w:link w:val="Bezmezer"/>
    <w:uiPriority w:val="99"/>
    <w:locked/>
    <w:rsid w:val="00977BB2"/>
    <w:rPr>
      <w:rFonts w:eastAsia="Times New Roman" w:cs="Times New Roman"/>
      <w:sz w:val="22"/>
      <w:szCs w:val="22"/>
      <w:lang w:val="cs-CZ" w:eastAsia="en-US" w:bidi="ar-SA"/>
    </w:rPr>
  </w:style>
  <w:style w:type="paragraph" w:styleId="Textbubliny">
    <w:name w:val="Balloon Text"/>
    <w:basedOn w:val="Normln"/>
    <w:link w:val="TextbublinyChar"/>
    <w:uiPriority w:val="99"/>
    <w:semiHidden/>
    <w:rsid w:val="00977B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7BB2"/>
    <w:rPr>
      <w:rFonts w:ascii="Tahoma" w:hAnsi="Tahoma" w:cs="Tahoma"/>
      <w:sz w:val="16"/>
      <w:szCs w:val="16"/>
    </w:rPr>
  </w:style>
  <w:style w:type="character" w:customStyle="1" w:styleId="apple-converted-space">
    <w:name w:val="apple-converted-space"/>
    <w:basedOn w:val="Standardnpsmoodstavce"/>
    <w:uiPriority w:val="99"/>
    <w:rsid w:val="0090648B"/>
    <w:rPr>
      <w:rFonts w:cs="Times New Roman"/>
    </w:rPr>
  </w:style>
  <w:style w:type="paragraph" w:styleId="Nzev">
    <w:name w:val="Title"/>
    <w:basedOn w:val="Normln"/>
    <w:next w:val="Normln"/>
    <w:link w:val="NzevChar"/>
    <w:uiPriority w:val="99"/>
    <w:qFormat/>
    <w:rsid w:val="000A16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0A16D6"/>
    <w:rPr>
      <w:rFonts w:ascii="Cambria" w:hAnsi="Cambria" w:cs="Times New Roman"/>
      <w:color w:val="17365D"/>
      <w:spacing w:val="5"/>
      <w:kern w:val="28"/>
      <w:sz w:val="52"/>
      <w:szCs w:val="52"/>
    </w:rPr>
  </w:style>
  <w:style w:type="table" w:styleId="Svtlseznamzvraznn3">
    <w:name w:val="Light List Accent 3"/>
    <w:basedOn w:val="Normlntabulka"/>
    <w:uiPriority w:val="99"/>
    <w:rsid w:val="00C5049C"/>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Hypertextovodkaz">
    <w:name w:val="Hyperlink"/>
    <w:basedOn w:val="Standardnpsmoodstavce"/>
    <w:uiPriority w:val="99"/>
    <w:rsid w:val="00C5049C"/>
    <w:rPr>
      <w:rFonts w:cs="Times New Roman"/>
      <w:color w:val="0000FF"/>
      <w:u w:val="single"/>
    </w:rPr>
  </w:style>
  <w:style w:type="paragraph" w:styleId="Textpoznpodarou">
    <w:name w:val="footnote text"/>
    <w:basedOn w:val="Normln"/>
    <w:link w:val="TextpoznpodarouChar"/>
    <w:uiPriority w:val="99"/>
    <w:semiHidden/>
    <w:rsid w:val="000033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003303"/>
    <w:rPr>
      <w:rFonts w:cs="Times New Roman"/>
      <w:sz w:val="20"/>
      <w:szCs w:val="20"/>
    </w:rPr>
  </w:style>
  <w:style w:type="character" w:styleId="Znakapoznpodarou">
    <w:name w:val="footnote reference"/>
    <w:basedOn w:val="Standardnpsmoodstavce"/>
    <w:uiPriority w:val="99"/>
    <w:semiHidden/>
    <w:rsid w:val="00003303"/>
    <w:rPr>
      <w:rFonts w:cs="Times New Roman"/>
      <w:vertAlign w:val="superscript"/>
    </w:rPr>
  </w:style>
  <w:style w:type="paragraph" w:styleId="Zhlav">
    <w:name w:val="header"/>
    <w:basedOn w:val="Normln"/>
    <w:link w:val="ZhlavChar"/>
    <w:uiPriority w:val="99"/>
    <w:semiHidden/>
    <w:rsid w:val="00B8676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8676C"/>
    <w:rPr>
      <w:rFonts w:cs="Times New Roman"/>
    </w:rPr>
  </w:style>
  <w:style w:type="paragraph" w:styleId="Zpat">
    <w:name w:val="footer"/>
    <w:basedOn w:val="Normln"/>
    <w:link w:val="ZpatChar"/>
    <w:uiPriority w:val="99"/>
    <w:semiHidden/>
    <w:rsid w:val="00B8676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8676C"/>
    <w:rPr>
      <w:rFonts w:cs="Times New Roman"/>
    </w:rPr>
  </w:style>
  <w:style w:type="character" w:styleId="slostrnky">
    <w:name w:val="page number"/>
    <w:basedOn w:val="Standardnpsmoodstavce"/>
    <w:uiPriority w:val="99"/>
    <w:rsid w:val="00B41330"/>
    <w:rPr>
      <w:rFonts w:cs="Times New Roman"/>
    </w:rPr>
  </w:style>
  <w:style w:type="paragraph" w:styleId="Seznamobrzk">
    <w:name w:val="table of figures"/>
    <w:basedOn w:val="Normln"/>
    <w:next w:val="Normln"/>
    <w:uiPriority w:val="99"/>
    <w:rsid w:val="00C80852"/>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8068F"/>
    <w:pPr>
      <w:spacing w:after="200" w:line="276" w:lineRule="auto"/>
    </w:pPr>
    <w:rPr>
      <w:lang w:eastAsia="en-US"/>
    </w:rPr>
  </w:style>
  <w:style w:type="paragraph" w:styleId="Nadpis2">
    <w:name w:val="heading 2"/>
    <w:basedOn w:val="Normln"/>
    <w:next w:val="Normln"/>
    <w:link w:val="Nadpis2Char"/>
    <w:uiPriority w:val="99"/>
    <w:qFormat/>
    <w:locked/>
    <w:rsid w:val="004F53A7"/>
    <w:pPr>
      <w:keepNext/>
      <w:keepLines/>
      <w:spacing w:before="200" w:after="0"/>
      <w:outlineLvl w:val="1"/>
    </w:pPr>
    <w:rPr>
      <w:rFonts w:ascii="Cambria" w:eastAsia="Times New Roman" w:hAnsi="Cambria"/>
      <w:b/>
      <w:bCs/>
      <w:color w:val="4F81BD"/>
      <w:sz w:val="26"/>
      <w:szCs w:val="26"/>
    </w:rPr>
  </w:style>
  <w:style w:type="paragraph" w:styleId="Nadpis3">
    <w:name w:val="heading 3"/>
    <w:basedOn w:val="Normln"/>
    <w:next w:val="Normln"/>
    <w:link w:val="Nadpis3Char"/>
    <w:uiPriority w:val="99"/>
    <w:qFormat/>
    <w:locked/>
    <w:rsid w:val="007F047E"/>
    <w:pPr>
      <w:keepNext/>
      <w:keepLines/>
      <w:spacing w:before="200" w:after="0"/>
      <w:outlineLvl w:val="2"/>
    </w:pPr>
    <w:rPr>
      <w:rFonts w:ascii="Cambria" w:eastAsia="Times New Roman" w:hAnsi="Cambria"/>
      <w:b/>
      <w:bCs/>
      <w:color w:val="4F81BD"/>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4F53A7"/>
    <w:rPr>
      <w:rFonts w:ascii="Cambria" w:hAnsi="Cambria" w:cs="Times New Roman"/>
      <w:b/>
      <w:bCs/>
      <w:color w:val="4F81BD"/>
      <w:sz w:val="26"/>
      <w:szCs w:val="26"/>
      <w:lang w:eastAsia="en-US"/>
    </w:rPr>
  </w:style>
  <w:style w:type="character" w:customStyle="1" w:styleId="Nadpis3Char">
    <w:name w:val="Nadpis 3 Char"/>
    <w:basedOn w:val="Standardnpsmoodstavce"/>
    <w:link w:val="Nadpis3"/>
    <w:uiPriority w:val="99"/>
    <w:locked/>
    <w:rsid w:val="007F047E"/>
    <w:rPr>
      <w:rFonts w:ascii="Cambria" w:hAnsi="Cambria" w:cs="Times New Roman"/>
      <w:b/>
      <w:bCs/>
      <w:color w:val="4F81BD"/>
      <w:lang w:eastAsia="en-US"/>
    </w:rPr>
  </w:style>
  <w:style w:type="paragraph" w:styleId="Bezmezer">
    <w:name w:val="No Spacing"/>
    <w:link w:val="BezmezerChar"/>
    <w:uiPriority w:val="99"/>
    <w:qFormat/>
    <w:rsid w:val="00977BB2"/>
    <w:rPr>
      <w:rFonts w:eastAsia="Times New Roman"/>
      <w:lang w:eastAsia="en-US"/>
    </w:rPr>
  </w:style>
  <w:style w:type="character" w:customStyle="1" w:styleId="BezmezerChar">
    <w:name w:val="Bez mezer Char"/>
    <w:basedOn w:val="Standardnpsmoodstavce"/>
    <w:link w:val="Bezmezer"/>
    <w:uiPriority w:val="99"/>
    <w:locked/>
    <w:rsid w:val="00977BB2"/>
    <w:rPr>
      <w:rFonts w:eastAsia="Times New Roman" w:cs="Times New Roman"/>
      <w:sz w:val="22"/>
      <w:szCs w:val="22"/>
      <w:lang w:val="cs-CZ" w:eastAsia="en-US" w:bidi="ar-SA"/>
    </w:rPr>
  </w:style>
  <w:style w:type="paragraph" w:styleId="Textbubliny">
    <w:name w:val="Balloon Text"/>
    <w:basedOn w:val="Normln"/>
    <w:link w:val="TextbublinyChar"/>
    <w:uiPriority w:val="99"/>
    <w:semiHidden/>
    <w:rsid w:val="00977BB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77BB2"/>
    <w:rPr>
      <w:rFonts w:ascii="Tahoma" w:hAnsi="Tahoma" w:cs="Tahoma"/>
      <w:sz w:val="16"/>
      <w:szCs w:val="16"/>
    </w:rPr>
  </w:style>
  <w:style w:type="character" w:customStyle="1" w:styleId="apple-converted-space">
    <w:name w:val="apple-converted-space"/>
    <w:basedOn w:val="Standardnpsmoodstavce"/>
    <w:uiPriority w:val="99"/>
    <w:rsid w:val="0090648B"/>
    <w:rPr>
      <w:rFonts w:cs="Times New Roman"/>
    </w:rPr>
  </w:style>
  <w:style w:type="paragraph" w:styleId="Nzev">
    <w:name w:val="Title"/>
    <w:basedOn w:val="Normln"/>
    <w:next w:val="Normln"/>
    <w:link w:val="NzevChar"/>
    <w:uiPriority w:val="99"/>
    <w:qFormat/>
    <w:rsid w:val="000A16D6"/>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evChar">
    <w:name w:val="Název Char"/>
    <w:basedOn w:val="Standardnpsmoodstavce"/>
    <w:link w:val="Nzev"/>
    <w:uiPriority w:val="99"/>
    <w:locked/>
    <w:rsid w:val="000A16D6"/>
    <w:rPr>
      <w:rFonts w:ascii="Cambria" w:hAnsi="Cambria" w:cs="Times New Roman"/>
      <w:color w:val="17365D"/>
      <w:spacing w:val="5"/>
      <w:kern w:val="28"/>
      <w:sz w:val="52"/>
      <w:szCs w:val="52"/>
    </w:rPr>
  </w:style>
  <w:style w:type="table" w:styleId="Svtlseznamzvraznn3">
    <w:name w:val="Light List Accent 3"/>
    <w:basedOn w:val="Normlntabulka"/>
    <w:uiPriority w:val="99"/>
    <w:rsid w:val="00C5049C"/>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styleId="Hypertextovodkaz">
    <w:name w:val="Hyperlink"/>
    <w:basedOn w:val="Standardnpsmoodstavce"/>
    <w:uiPriority w:val="99"/>
    <w:rsid w:val="00C5049C"/>
    <w:rPr>
      <w:rFonts w:cs="Times New Roman"/>
      <w:color w:val="0000FF"/>
      <w:u w:val="single"/>
    </w:rPr>
  </w:style>
  <w:style w:type="paragraph" w:styleId="Textpoznpodarou">
    <w:name w:val="footnote text"/>
    <w:basedOn w:val="Normln"/>
    <w:link w:val="TextpoznpodarouChar"/>
    <w:uiPriority w:val="99"/>
    <w:semiHidden/>
    <w:rsid w:val="000033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locked/>
    <w:rsid w:val="00003303"/>
    <w:rPr>
      <w:rFonts w:cs="Times New Roman"/>
      <w:sz w:val="20"/>
      <w:szCs w:val="20"/>
    </w:rPr>
  </w:style>
  <w:style w:type="character" w:styleId="Znakapoznpodarou">
    <w:name w:val="footnote reference"/>
    <w:basedOn w:val="Standardnpsmoodstavce"/>
    <w:uiPriority w:val="99"/>
    <w:semiHidden/>
    <w:rsid w:val="00003303"/>
    <w:rPr>
      <w:rFonts w:cs="Times New Roman"/>
      <w:vertAlign w:val="superscript"/>
    </w:rPr>
  </w:style>
  <w:style w:type="paragraph" w:styleId="Zhlav">
    <w:name w:val="header"/>
    <w:basedOn w:val="Normln"/>
    <w:link w:val="ZhlavChar"/>
    <w:uiPriority w:val="99"/>
    <w:semiHidden/>
    <w:rsid w:val="00B8676C"/>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8676C"/>
    <w:rPr>
      <w:rFonts w:cs="Times New Roman"/>
    </w:rPr>
  </w:style>
  <w:style w:type="paragraph" w:styleId="Zpat">
    <w:name w:val="footer"/>
    <w:basedOn w:val="Normln"/>
    <w:link w:val="ZpatChar"/>
    <w:uiPriority w:val="99"/>
    <w:semiHidden/>
    <w:rsid w:val="00B8676C"/>
    <w:pPr>
      <w:tabs>
        <w:tab w:val="center" w:pos="4536"/>
        <w:tab w:val="right" w:pos="9072"/>
      </w:tabs>
      <w:spacing w:after="0" w:line="240" w:lineRule="auto"/>
    </w:pPr>
  </w:style>
  <w:style w:type="character" w:customStyle="1" w:styleId="ZpatChar">
    <w:name w:val="Zápatí Char"/>
    <w:basedOn w:val="Standardnpsmoodstavce"/>
    <w:link w:val="Zpat"/>
    <w:uiPriority w:val="99"/>
    <w:semiHidden/>
    <w:locked/>
    <w:rsid w:val="00B8676C"/>
    <w:rPr>
      <w:rFonts w:cs="Times New Roman"/>
    </w:rPr>
  </w:style>
  <w:style w:type="character" w:styleId="slostrnky">
    <w:name w:val="page number"/>
    <w:basedOn w:val="Standardnpsmoodstavce"/>
    <w:uiPriority w:val="99"/>
    <w:rsid w:val="00B41330"/>
    <w:rPr>
      <w:rFonts w:cs="Times New Roman"/>
    </w:rPr>
  </w:style>
  <w:style w:type="paragraph" w:styleId="Seznamobrzk">
    <w:name w:val="table of figures"/>
    <w:basedOn w:val="Normln"/>
    <w:next w:val="Normln"/>
    <w:uiPriority w:val="99"/>
    <w:rsid w:val="00C80852"/>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99003">
      <w:marLeft w:val="0"/>
      <w:marRight w:val="0"/>
      <w:marTop w:val="0"/>
      <w:marBottom w:val="0"/>
      <w:divBdr>
        <w:top w:val="none" w:sz="0" w:space="0" w:color="auto"/>
        <w:left w:val="none" w:sz="0" w:space="0" w:color="auto"/>
        <w:bottom w:val="none" w:sz="0" w:space="0" w:color="auto"/>
        <w:right w:val="none" w:sz="0" w:space="0" w:color="auto"/>
      </w:divBdr>
    </w:div>
    <w:div w:id="1125999004">
      <w:marLeft w:val="0"/>
      <w:marRight w:val="0"/>
      <w:marTop w:val="0"/>
      <w:marBottom w:val="0"/>
      <w:divBdr>
        <w:top w:val="none" w:sz="0" w:space="0" w:color="auto"/>
        <w:left w:val="none" w:sz="0" w:space="0" w:color="auto"/>
        <w:bottom w:val="none" w:sz="0" w:space="0" w:color="auto"/>
        <w:right w:val="none" w:sz="0" w:space="0" w:color="auto"/>
      </w:divBdr>
    </w:div>
    <w:div w:id="1125999005">
      <w:marLeft w:val="0"/>
      <w:marRight w:val="0"/>
      <w:marTop w:val="0"/>
      <w:marBottom w:val="0"/>
      <w:divBdr>
        <w:top w:val="none" w:sz="0" w:space="0" w:color="auto"/>
        <w:left w:val="none" w:sz="0" w:space="0" w:color="auto"/>
        <w:bottom w:val="none" w:sz="0" w:space="0" w:color="auto"/>
        <w:right w:val="none" w:sz="0" w:space="0" w:color="auto"/>
      </w:divBdr>
    </w:div>
    <w:div w:id="1125999006">
      <w:marLeft w:val="0"/>
      <w:marRight w:val="0"/>
      <w:marTop w:val="0"/>
      <w:marBottom w:val="0"/>
      <w:divBdr>
        <w:top w:val="none" w:sz="0" w:space="0" w:color="auto"/>
        <w:left w:val="none" w:sz="0" w:space="0" w:color="auto"/>
        <w:bottom w:val="none" w:sz="0" w:space="0" w:color="auto"/>
        <w:right w:val="none" w:sz="0" w:space="0" w:color="auto"/>
      </w:divBdr>
    </w:div>
    <w:div w:id="1125999007">
      <w:marLeft w:val="0"/>
      <w:marRight w:val="0"/>
      <w:marTop w:val="0"/>
      <w:marBottom w:val="0"/>
      <w:divBdr>
        <w:top w:val="none" w:sz="0" w:space="0" w:color="auto"/>
        <w:left w:val="none" w:sz="0" w:space="0" w:color="auto"/>
        <w:bottom w:val="none" w:sz="0" w:space="0" w:color="auto"/>
        <w:right w:val="none" w:sz="0" w:space="0" w:color="auto"/>
      </w:divBdr>
    </w:div>
    <w:div w:id="1125999008">
      <w:marLeft w:val="0"/>
      <w:marRight w:val="0"/>
      <w:marTop w:val="0"/>
      <w:marBottom w:val="0"/>
      <w:divBdr>
        <w:top w:val="none" w:sz="0" w:space="0" w:color="auto"/>
        <w:left w:val="none" w:sz="0" w:space="0" w:color="auto"/>
        <w:bottom w:val="none" w:sz="0" w:space="0" w:color="auto"/>
        <w:right w:val="none" w:sz="0" w:space="0" w:color="auto"/>
      </w:divBdr>
    </w:div>
    <w:div w:id="1125999009">
      <w:marLeft w:val="0"/>
      <w:marRight w:val="0"/>
      <w:marTop w:val="0"/>
      <w:marBottom w:val="0"/>
      <w:divBdr>
        <w:top w:val="none" w:sz="0" w:space="0" w:color="auto"/>
        <w:left w:val="none" w:sz="0" w:space="0" w:color="auto"/>
        <w:bottom w:val="none" w:sz="0" w:space="0" w:color="auto"/>
        <w:right w:val="none" w:sz="0" w:space="0" w:color="auto"/>
      </w:divBdr>
    </w:div>
    <w:div w:id="1125999010">
      <w:marLeft w:val="0"/>
      <w:marRight w:val="0"/>
      <w:marTop w:val="0"/>
      <w:marBottom w:val="0"/>
      <w:divBdr>
        <w:top w:val="none" w:sz="0" w:space="0" w:color="auto"/>
        <w:left w:val="none" w:sz="0" w:space="0" w:color="auto"/>
        <w:bottom w:val="none" w:sz="0" w:space="0" w:color="auto"/>
        <w:right w:val="none" w:sz="0" w:space="0" w:color="auto"/>
      </w:divBdr>
    </w:div>
    <w:div w:id="1125999011">
      <w:marLeft w:val="0"/>
      <w:marRight w:val="0"/>
      <w:marTop w:val="0"/>
      <w:marBottom w:val="0"/>
      <w:divBdr>
        <w:top w:val="none" w:sz="0" w:space="0" w:color="auto"/>
        <w:left w:val="none" w:sz="0" w:space="0" w:color="auto"/>
        <w:bottom w:val="none" w:sz="0" w:space="0" w:color="auto"/>
        <w:right w:val="none" w:sz="0" w:space="0" w:color="auto"/>
      </w:divBdr>
    </w:div>
    <w:div w:id="1125999012">
      <w:marLeft w:val="0"/>
      <w:marRight w:val="0"/>
      <w:marTop w:val="0"/>
      <w:marBottom w:val="0"/>
      <w:divBdr>
        <w:top w:val="none" w:sz="0" w:space="0" w:color="auto"/>
        <w:left w:val="none" w:sz="0" w:space="0" w:color="auto"/>
        <w:bottom w:val="none" w:sz="0" w:space="0" w:color="auto"/>
        <w:right w:val="none" w:sz="0" w:space="0" w:color="auto"/>
      </w:divBdr>
    </w:div>
    <w:div w:id="1125999013">
      <w:marLeft w:val="0"/>
      <w:marRight w:val="0"/>
      <w:marTop w:val="0"/>
      <w:marBottom w:val="0"/>
      <w:divBdr>
        <w:top w:val="none" w:sz="0" w:space="0" w:color="auto"/>
        <w:left w:val="none" w:sz="0" w:space="0" w:color="auto"/>
        <w:bottom w:val="none" w:sz="0" w:space="0" w:color="auto"/>
        <w:right w:val="none" w:sz="0" w:space="0" w:color="auto"/>
      </w:divBdr>
    </w:div>
    <w:div w:id="1125999014">
      <w:marLeft w:val="0"/>
      <w:marRight w:val="0"/>
      <w:marTop w:val="0"/>
      <w:marBottom w:val="0"/>
      <w:divBdr>
        <w:top w:val="none" w:sz="0" w:space="0" w:color="auto"/>
        <w:left w:val="none" w:sz="0" w:space="0" w:color="auto"/>
        <w:bottom w:val="none" w:sz="0" w:space="0" w:color="auto"/>
        <w:right w:val="none" w:sz="0" w:space="0" w:color="auto"/>
      </w:divBdr>
    </w:div>
    <w:div w:id="1125999015">
      <w:marLeft w:val="0"/>
      <w:marRight w:val="0"/>
      <w:marTop w:val="0"/>
      <w:marBottom w:val="0"/>
      <w:divBdr>
        <w:top w:val="none" w:sz="0" w:space="0" w:color="auto"/>
        <w:left w:val="none" w:sz="0" w:space="0" w:color="auto"/>
        <w:bottom w:val="none" w:sz="0" w:space="0" w:color="auto"/>
        <w:right w:val="none" w:sz="0" w:space="0" w:color="auto"/>
      </w:divBdr>
    </w:div>
    <w:div w:id="1125999016">
      <w:marLeft w:val="0"/>
      <w:marRight w:val="0"/>
      <w:marTop w:val="0"/>
      <w:marBottom w:val="0"/>
      <w:divBdr>
        <w:top w:val="none" w:sz="0" w:space="0" w:color="auto"/>
        <w:left w:val="none" w:sz="0" w:space="0" w:color="auto"/>
        <w:bottom w:val="none" w:sz="0" w:space="0" w:color="auto"/>
        <w:right w:val="none" w:sz="0" w:space="0" w:color="auto"/>
      </w:divBdr>
    </w:div>
    <w:div w:id="1125999017">
      <w:marLeft w:val="0"/>
      <w:marRight w:val="0"/>
      <w:marTop w:val="0"/>
      <w:marBottom w:val="0"/>
      <w:divBdr>
        <w:top w:val="none" w:sz="0" w:space="0" w:color="auto"/>
        <w:left w:val="none" w:sz="0" w:space="0" w:color="auto"/>
        <w:bottom w:val="none" w:sz="0" w:space="0" w:color="auto"/>
        <w:right w:val="none" w:sz="0" w:space="0" w:color="auto"/>
      </w:divBdr>
    </w:div>
    <w:div w:id="1125999018">
      <w:marLeft w:val="0"/>
      <w:marRight w:val="0"/>
      <w:marTop w:val="0"/>
      <w:marBottom w:val="0"/>
      <w:divBdr>
        <w:top w:val="none" w:sz="0" w:space="0" w:color="auto"/>
        <w:left w:val="none" w:sz="0" w:space="0" w:color="auto"/>
        <w:bottom w:val="none" w:sz="0" w:space="0" w:color="auto"/>
        <w:right w:val="none" w:sz="0" w:space="0" w:color="auto"/>
      </w:divBdr>
    </w:div>
    <w:div w:id="1125999019">
      <w:marLeft w:val="0"/>
      <w:marRight w:val="0"/>
      <w:marTop w:val="0"/>
      <w:marBottom w:val="0"/>
      <w:divBdr>
        <w:top w:val="none" w:sz="0" w:space="0" w:color="auto"/>
        <w:left w:val="none" w:sz="0" w:space="0" w:color="auto"/>
        <w:bottom w:val="none" w:sz="0" w:space="0" w:color="auto"/>
        <w:right w:val="none" w:sz="0" w:space="0" w:color="auto"/>
      </w:divBdr>
    </w:div>
    <w:div w:id="11259990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2886</Words>
  <Characters>17029</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Místní finance a hospodaření sídla</vt:lpstr>
    </vt:vector>
  </TitlesOfParts>
  <Company>AVE CZ odpadové hospodářství s.r.o.</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Místní finance a hospodaření sídla</dc:title>
  <dc:subject>Posouzení finanční situace obce</dc:subject>
  <dc:creator>Krásné Údolí</dc:creator>
  <cp:lastModifiedBy>Barešová Lenka</cp:lastModifiedBy>
  <cp:revision>2</cp:revision>
  <dcterms:created xsi:type="dcterms:W3CDTF">2014-03-31T10:22:00Z</dcterms:created>
  <dcterms:modified xsi:type="dcterms:W3CDTF">2014-03-31T10:22:00Z</dcterms:modified>
</cp:coreProperties>
</file>